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E5" w:rsidRPr="006306E5" w:rsidRDefault="006306E5">
      <w:pPr>
        <w:spacing w:after="1" w:line="260" w:lineRule="auto"/>
        <w:ind w:firstLine="540"/>
        <w:jc w:val="both"/>
        <w:rPr>
          <w:b/>
        </w:rPr>
      </w:pPr>
      <w:r w:rsidRPr="006306E5">
        <w:rPr>
          <w:b/>
        </w:rPr>
        <w:t>Выводы:</w:t>
      </w:r>
    </w:p>
    <w:p w:rsidR="0057558E" w:rsidRDefault="0057558E">
      <w:pPr>
        <w:spacing w:after="1" w:line="260" w:lineRule="auto"/>
        <w:ind w:firstLine="540"/>
        <w:jc w:val="both"/>
      </w:pPr>
      <w:r>
        <w:t xml:space="preserve">В РСБУ (по НМА, запасам, основным средствам и капитальным вложениям) в отличие от МСФО </w:t>
      </w:r>
      <w:r w:rsidR="00E66FFB">
        <w:t xml:space="preserve">для квалификации активов </w:t>
      </w:r>
      <w:r>
        <w:t>играет роль не только факт потребления</w:t>
      </w:r>
      <w:r w:rsidR="00E66FFB">
        <w:t xml:space="preserve"> (предметы труда) или использования (средства труда), но для средств труда </w:t>
      </w:r>
      <w:r w:rsidR="007D78A1">
        <w:t xml:space="preserve">и </w:t>
      </w:r>
      <w:r w:rsidR="00E66FFB">
        <w:t>период использования (не более 12 месяцев).</w:t>
      </w:r>
    </w:p>
    <w:p w:rsidR="00891D09" w:rsidRPr="00891D09" w:rsidRDefault="00891D09">
      <w:pPr>
        <w:spacing w:after="1" w:line="260" w:lineRule="auto"/>
        <w:ind w:firstLine="540"/>
        <w:jc w:val="both"/>
      </w:pPr>
      <w:r>
        <w:t xml:space="preserve">При этом в МСФО </w:t>
      </w:r>
      <w:r w:rsidRPr="00891D09">
        <w:t>(</w:t>
      </w:r>
      <w:r>
        <w:rPr>
          <w:lang w:val="en-US"/>
        </w:rPr>
        <w:t>IAS</w:t>
      </w:r>
      <w:r w:rsidRPr="00891D09">
        <w:t>)</w:t>
      </w:r>
      <w:r>
        <w:t xml:space="preserve"> 16 </w:t>
      </w:r>
      <w:r w:rsidR="007D78A1">
        <w:t xml:space="preserve">в условии про </w:t>
      </w:r>
      <w:r>
        <w:t>использование в течение более чем одного периода</w:t>
      </w:r>
      <w:r w:rsidR="007D78A1">
        <w:t>, под периодом</w:t>
      </w:r>
      <w:r>
        <w:t xml:space="preserve"> </w:t>
      </w:r>
      <w:r w:rsidR="006306E5">
        <w:t>следует</w:t>
      </w:r>
      <w:r>
        <w:t xml:space="preserve"> понимать период начисления амортизационных начислений, т.е. данный период не равен отчетному периоду и может быть менее 12 месяцев, ограничений в МСФО в данной части нет. </w:t>
      </w:r>
    </w:p>
    <w:p w:rsidR="00E66FFB" w:rsidRDefault="00891D09">
      <w:pPr>
        <w:spacing w:after="1" w:line="260" w:lineRule="auto"/>
        <w:ind w:firstLine="540"/>
        <w:jc w:val="both"/>
      </w:pPr>
      <w:r>
        <w:t xml:space="preserve">Перечисленные в ФСБУ 5/2019 примеры являются частностями, а, следовательно, не ограничиваются только </w:t>
      </w:r>
      <w:r w:rsidR="006306E5">
        <w:t>указанными</w:t>
      </w:r>
      <w:r>
        <w:t xml:space="preserve"> случаями и могут (более того, судя из построения текста не только могут, а должны) включать нефинансовые активы, не имеющие материально-вещественной формы (за исключением долгосрочных активов к продаже).</w:t>
      </w:r>
    </w:p>
    <w:p w:rsidR="00E66FFB" w:rsidRDefault="00E66FFB">
      <w:pPr>
        <w:spacing w:after="1" w:line="260" w:lineRule="auto"/>
        <w:ind w:firstLine="540"/>
        <w:jc w:val="both"/>
      </w:pPr>
      <w:r>
        <w:t>Следовательно, для целей квалификации такого рода активов в общем случае нельзя воспользоваться пунктом 7.1 ПБУ 1/2008, использовать МСФО или рекомендации (за исключением случаев, указанных в пунктах 7, 7.2, 7.3, 7.4 ПБУ 1/2008).</w:t>
      </w:r>
    </w:p>
    <w:p w:rsidR="006306E5" w:rsidRDefault="006306E5">
      <w:pPr>
        <w:spacing w:after="1" w:line="260" w:lineRule="auto"/>
        <w:ind w:firstLine="540"/>
        <w:jc w:val="both"/>
      </w:pPr>
      <w:r>
        <w:t xml:space="preserve">Таким образом, </w:t>
      </w:r>
      <w:r w:rsidR="0067540B">
        <w:t xml:space="preserve">нефинансовые </w:t>
      </w:r>
      <w:r>
        <w:t>активы, не имеющие материально-вещественной формы</w:t>
      </w:r>
      <w:r w:rsidR="0067540B">
        <w:t>, используемые в течение периода не более 12 месяцев</w:t>
      </w:r>
      <w:r>
        <w:t xml:space="preserve">, в соответствии с действующими нормами РСБУ </w:t>
      </w:r>
      <w:r w:rsidR="007D78A1">
        <w:t xml:space="preserve">в общем случае </w:t>
      </w:r>
      <w:bookmarkStart w:id="0" w:name="_GoBack"/>
      <w:bookmarkEnd w:id="0"/>
      <w:r>
        <w:t>необходимо учитывать в составе запасов и применять к ним все правила ФСБУ 5/2019.</w:t>
      </w:r>
    </w:p>
    <w:p w:rsidR="0057558E" w:rsidRDefault="0057558E">
      <w:pPr>
        <w:spacing w:after="1" w:line="260" w:lineRule="auto"/>
        <w:ind w:firstLine="540"/>
        <w:jc w:val="both"/>
      </w:pPr>
    </w:p>
    <w:p w:rsidR="006306E5" w:rsidRPr="006306E5" w:rsidRDefault="006306E5">
      <w:pPr>
        <w:spacing w:after="1" w:line="260" w:lineRule="auto"/>
        <w:ind w:firstLine="540"/>
        <w:jc w:val="both"/>
        <w:rPr>
          <w:b/>
        </w:rPr>
      </w:pPr>
      <w:r w:rsidRPr="006306E5">
        <w:rPr>
          <w:b/>
        </w:rPr>
        <w:t>Основания для выводов:</w:t>
      </w:r>
    </w:p>
    <w:p w:rsidR="00B81490" w:rsidRDefault="00B81490">
      <w:pPr>
        <w:spacing w:after="1" w:line="260" w:lineRule="auto"/>
        <w:ind w:firstLine="540"/>
        <w:jc w:val="both"/>
      </w:pPr>
      <w:r>
        <w:t>4. Для целей бухгалтерского учета объектом нематериальных активов считается актив, характеризующийся одновременно следующими признаками: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а) не имеет материально-вещественной формы;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б) предназначен для использования организацией в ходе обычной деятельности при производстве и (или) продаже ею продукции (товаров), при выполнении работ или оказании услуг, для предоставления за плату во временное пользование, для управленческих нужд либо для использования в деятельности некоммерческой организации, направленной на достижение целей, ради которых она создана;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в) предназначен </w:t>
      </w:r>
      <w:r w:rsidRPr="0057558E">
        <w:rPr>
          <w:highlight w:val="yellow"/>
        </w:rPr>
        <w:t>для использования</w:t>
      </w:r>
      <w:r>
        <w:t xml:space="preserve"> организацией </w:t>
      </w:r>
      <w:r w:rsidRPr="0057558E">
        <w:rPr>
          <w:highlight w:val="yellow"/>
        </w:rPr>
        <w:t>в течение периода более 12 месяцев</w:t>
      </w:r>
      <w:r>
        <w:t xml:space="preserve"> или обычного операционного цикла, превышающего 12 месяцев;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г) способен приносить организации экономические выгоды (доход) в будущем (обеспечить достижение некоммерческой организацией целей, ради которых она создана), на получение которых организация имеет право (в частности, в отношении такого актива у организации при его приобретении (создании) возникли исключительные права, права в соответствии с </w:t>
      </w:r>
      <w:r>
        <w:lastRenderedPageBreak/>
        <w:t>лицензионными договорами либо иными документами, подтверждающими существование права на такой актив) и доступ иных лиц к которым организация способна ограничить;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д) может быть выделен (идентифицирован) из других активов или отделен от них.</w:t>
      </w:r>
    </w:p>
    <w:p w:rsidR="00B81490" w:rsidRDefault="007D78A1">
      <w:pPr>
        <w:spacing w:after="1" w:line="260" w:lineRule="auto"/>
      </w:pPr>
      <w:hyperlink r:id="rId4">
        <w:r w:rsidR="00B81490">
          <w:rPr>
            <w:i/>
            <w:color w:val="0000FF"/>
          </w:rPr>
          <w:br/>
          <w:t>Приказ Минфина России от 30.05.2022 N 86н "Об утверждении Федерального стандарта бухгалтерского учета ФСБУ 14/2022 "Нематериальные активы" {КонсультантПлюс}</w:t>
        </w:r>
      </w:hyperlink>
      <w:r w:rsidR="00B81490">
        <w:br/>
      </w:r>
    </w:p>
    <w:p w:rsidR="00B81490" w:rsidRDefault="00B81490">
      <w:pPr>
        <w:spacing w:after="1" w:line="260" w:lineRule="auto"/>
        <w:ind w:firstLine="540"/>
        <w:jc w:val="both"/>
      </w:pPr>
      <w:proofErr w:type="gramStart"/>
      <w:r>
        <w:t>8 В</w:t>
      </w:r>
      <w:proofErr w:type="gramEnd"/>
      <w:r>
        <w:t xml:space="preserve"> настоящем стандарте используются следующие термины в указанных значениях: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Нематериальный актив - идентифицируемый немонетарный актив, не имеющий физической формы.</w:t>
      </w:r>
    </w:p>
    <w:p w:rsidR="00B81490" w:rsidRDefault="007D78A1">
      <w:pPr>
        <w:spacing w:after="1" w:line="260" w:lineRule="auto"/>
        <w:ind w:firstLine="540"/>
        <w:jc w:val="both"/>
      </w:pPr>
      <w:hyperlink r:id="rId5">
        <w:r w:rsidR="00B81490">
          <w:rPr>
            <w:i/>
            <w:color w:val="0000FF"/>
          </w:rPr>
          <w:br/>
          <w:t>"Международный стандарт финансовой отчетности (IAS) 38 "Нематериальные активы" (введен в действие на территории Российской Федерации Приказом Минфина России от 28.12.2015 N 217н) (ред. от 14.12.2020) {КонсультантПлюс}</w:t>
        </w:r>
      </w:hyperlink>
      <w:r w:rsidR="00B81490">
        <w:br/>
      </w:r>
    </w:p>
    <w:p w:rsidR="00B81490" w:rsidRDefault="00B81490">
      <w:pPr>
        <w:spacing w:after="1" w:line="260" w:lineRule="auto"/>
        <w:ind w:firstLine="540"/>
        <w:jc w:val="both"/>
      </w:pPr>
      <w:proofErr w:type="gramStart"/>
      <w:r>
        <w:t>6 В</w:t>
      </w:r>
      <w:proofErr w:type="gramEnd"/>
      <w:r>
        <w:t xml:space="preserve"> настоящем стандарте используются следующие термины в указанных значениях: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Запасы - активы: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(a) предназначенные для продажи в ходе обычной деятельности;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(b) </w:t>
      </w:r>
      <w:r w:rsidRPr="0057558E">
        <w:rPr>
          <w:highlight w:val="yellow"/>
        </w:rPr>
        <w:t>находящиеся в процессе производства для такой продажи</w:t>
      </w:r>
      <w:r>
        <w:t>; или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(c) находящиеся в виде сырья или материалов, которые </w:t>
      </w:r>
      <w:r w:rsidRPr="0057558E">
        <w:rPr>
          <w:highlight w:val="yellow"/>
        </w:rPr>
        <w:t>будут потребляться в процессе производства или оказания услуг</w:t>
      </w:r>
      <w:r>
        <w:t>.</w:t>
      </w:r>
    </w:p>
    <w:p w:rsidR="00B81490" w:rsidRDefault="007D78A1">
      <w:pPr>
        <w:spacing w:after="1" w:line="260" w:lineRule="auto"/>
      </w:pPr>
      <w:hyperlink r:id="rId6">
        <w:r w:rsidR="00B81490">
          <w:rPr>
            <w:i/>
            <w:color w:val="0000FF"/>
          </w:rPr>
          <w:br/>
          <w:t>"Международный стандарт финансовой отчетности (IAS) 2 "Запасы" (введен в действие на территории Российской Федерации Приказом Минфина России от 28.12.2015 N 217н) (ред. от 11.07.2016) {КонсультантПлюс}</w:t>
        </w:r>
      </w:hyperlink>
      <w:r w:rsidR="00B81490">
        <w:br/>
      </w:r>
    </w:p>
    <w:p w:rsidR="00B81490" w:rsidRDefault="00B81490">
      <w:pPr>
        <w:spacing w:after="1" w:line="260" w:lineRule="auto"/>
        <w:ind w:firstLine="540"/>
        <w:jc w:val="both"/>
      </w:pPr>
      <w:r>
        <w:t xml:space="preserve">3. Для целей бухгалтерского учета запасами считаются активы, </w:t>
      </w:r>
      <w:r w:rsidRPr="0057558E">
        <w:rPr>
          <w:highlight w:val="yellow"/>
        </w:rPr>
        <w:t>потребляемые</w:t>
      </w:r>
      <w:r>
        <w:t xml:space="preserve"> или продаваемые в рамках обычного операционного цикла организации, </w:t>
      </w:r>
      <w:r w:rsidRPr="0057558E">
        <w:rPr>
          <w:highlight w:val="yellow"/>
        </w:rPr>
        <w:t>либо используемые в течение периода не более 12 месяцев</w:t>
      </w:r>
      <w:r>
        <w:t>.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Запасами, </w:t>
      </w:r>
      <w:r w:rsidRPr="0057558E">
        <w:rPr>
          <w:highlight w:val="yellow"/>
        </w:rPr>
        <w:t>в частности</w:t>
      </w:r>
      <w:r>
        <w:t>, являются: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lastRenderedPageBreak/>
        <w:t xml:space="preserve">б) </w:t>
      </w:r>
      <w:r w:rsidRPr="0057558E">
        <w:rPr>
          <w:highlight w:val="yellow"/>
        </w:rPr>
        <w:t>инструменты, инвентарь</w:t>
      </w:r>
      <w:r>
        <w:t xml:space="preserve">, специальная одежда, специальная оснастка (специальные приспособления, специальные инструменты, специальное оборудование), тара и другие аналогичные </w:t>
      </w:r>
      <w:r w:rsidRPr="0057558E">
        <w:rPr>
          <w:highlight w:val="yellow"/>
        </w:rPr>
        <w:t>объекты, используемые при производстве продукции, продаже товаров, выполнении работ, оказании услуг</w:t>
      </w:r>
      <w:r>
        <w:t>, за исключением случаев, когда указанные объекты считаются для целей бухгалтерского учета основными средствами;</w:t>
      </w:r>
    </w:p>
    <w:p w:rsidR="00B81490" w:rsidRDefault="007D78A1">
      <w:pPr>
        <w:spacing w:after="1" w:line="260" w:lineRule="auto"/>
      </w:pPr>
      <w:hyperlink r:id="rId7">
        <w:r w:rsidR="00B81490">
          <w:rPr>
            <w:i/>
            <w:color w:val="0000FF"/>
          </w:rPr>
          <w:br/>
          <w:t>Приказ Минфина России от 15.11.2019 N 180н "Об утверждении Федерального стандарта бухгалтерского учета ФСБУ 5/2019 "Запасы" (вместе с "ФСБУ 5/2019...") {КонсультантПлюс}</w:t>
        </w:r>
      </w:hyperlink>
      <w:r w:rsidR="00B81490">
        <w:br/>
      </w:r>
    </w:p>
    <w:p w:rsidR="00B81490" w:rsidRDefault="00B81490">
      <w:pPr>
        <w:spacing w:after="1" w:line="260" w:lineRule="auto"/>
        <w:ind w:firstLine="540"/>
        <w:jc w:val="both"/>
      </w:pPr>
      <w:r>
        <w:t>4. Для целей бухгалтерского учета объектом основных средств считается актив, характеризующийся одновременно следующими признаками: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а) имеет материально-вещественную форму;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б) предназначен для использования организацией в ходе обычной деятельности при производстве и (или) продаже ею продукции (товаров), при выполнении работ или оказании услуг, для охраны окружающей среды, для предоставления за плату во временное пользование, для управленческих нужд, либо для использования в деятельности некоммерческой организации, направленной на достижение целей, ради которых она создана;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 xml:space="preserve">в) предназначен </w:t>
      </w:r>
      <w:r w:rsidRPr="0057558E">
        <w:rPr>
          <w:highlight w:val="yellow"/>
        </w:rPr>
        <w:t>для использования</w:t>
      </w:r>
      <w:r>
        <w:t xml:space="preserve"> организацией </w:t>
      </w:r>
      <w:r w:rsidRPr="0057558E">
        <w:rPr>
          <w:highlight w:val="yellow"/>
        </w:rPr>
        <w:t>в течение периода более 12 месяцев</w:t>
      </w:r>
      <w:r>
        <w:t xml:space="preserve"> или обычного операционного цикла, превышающего 12 месяцев;</w:t>
      </w:r>
    </w:p>
    <w:p w:rsidR="00B81490" w:rsidRDefault="00B81490">
      <w:pPr>
        <w:spacing w:before="260" w:after="1" w:line="260" w:lineRule="auto"/>
        <w:ind w:firstLine="540"/>
        <w:jc w:val="both"/>
      </w:pPr>
      <w:r>
        <w:t>г) способен приносить организации экономические выгоды (доход) в будущем (обеспечить достижение некоммерческой организацией целей, ради которых она создана).</w:t>
      </w:r>
    </w:p>
    <w:p w:rsidR="00B81490" w:rsidRDefault="007D78A1">
      <w:pPr>
        <w:spacing w:after="1" w:line="260" w:lineRule="auto"/>
      </w:pPr>
      <w:hyperlink r:id="rId8">
        <w:r w:rsidR="00B81490">
          <w:rPr>
            <w:i/>
            <w:color w:val="0000FF"/>
          </w:rPr>
          <w:br/>
          <w:t>Приказ Минфина России от 17.09.2020 N 204н (ред. от 30.05.2022) "Об утверждении Федеральных стандартов бухгалтерского учета ФСБУ 6/2020 "Основные средства" и ФСБУ 26/2020 "Капитальные вложения" {КонсультантПлюс}</w:t>
        </w:r>
      </w:hyperlink>
      <w:r w:rsidR="00B81490">
        <w:br/>
      </w:r>
    </w:p>
    <w:p w:rsidR="009A30A7" w:rsidRDefault="009A30A7">
      <w:pPr>
        <w:spacing w:after="1" w:line="260" w:lineRule="auto"/>
        <w:ind w:firstLine="540"/>
        <w:jc w:val="both"/>
      </w:pPr>
      <w:r>
        <w:t>6. Капитальные вложения признаются в бухгалтерском учете при одновременном соблюдении следующих условий:</w:t>
      </w:r>
    </w:p>
    <w:p w:rsidR="009A30A7" w:rsidRDefault="009A30A7">
      <w:pPr>
        <w:spacing w:before="260" w:after="1" w:line="260" w:lineRule="auto"/>
        <w:ind w:firstLine="540"/>
        <w:jc w:val="both"/>
      </w:pPr>
      <w:r>
        <w:t xml:space="preserve">а) понесенные затраты обеспечат получение в будущем экономических выгод организацией (достижение некоммерческой организацией целей, ради которых она создана) </w:t>
      </w:r>
      <w:r w:rsidRPr="0057558E">
        <w:rPr>
          <w:highlight w:val="yellow"/>
        </w:rPr>
        <w:t>в течение периода более 12 месяцев</w:t>
      </w:r>
      <w:r>
        <w:t xml:space="preserve"> или обычного операционного цикла, превышающего 12 месяцев;</w:t>
      </w:r>
    </w:p>
    <w:p w:rsidR="009A30A7" w:rsidRDefault="009A30A7">
      <w:pPr>
        <w:spacing w:after="1" w:line="260" w:lineRule="auto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Минфина России от 30.05.2022 N 87н)</w:t>
      </w:r>
    </w:p>
    <w:p w:rsidR="009A30A7" w:rsidRDefault="007D78A1">
      <w:pPr>
        <w:spacing w:after="1" w:line="260" w:lineRule="auto"/>
      </w:pPr>
      <w:hyperlink r:id="rId10">
        <w:r w:rsidR="009A30A7">
          <w:rPr>
            <w:i/>
            <w:color w:val="0000FF"/>
          </w:rPr>
          <w:br/>
          <w:t xml:space="preserve">Приказ Минфина России от 17.09.2020 N 204н (ред. от 30.05.2022) "Об </w:t>
        </w:r>
        <w:r w:rsidR="009A30A7">
          <w:rPr>
            <w:i/>
            <w:color w:val="0000FF"/>
          </w:rPr>
          <w:lastRenderedPageBreak/>
          <w:t>утверждении Федеральных стандартов бухгалтерского учета ФСБУ 6/2020 "Основные средства" и ФСБУ 26/2020 "Капитальные вложения" {КонсультантПлюс}</w:t>
        </w:r>
      </w:hyperlink>
      <w:r w:rsidR="009A30A7">
        <w:br/>
      </w:r>
    </w:p>
    <w:p w:rsidR="009A30A7" w:rsidRDefault="009A30A7">
      <w:pPr>
        <w:spacing w:after="1" w:line="260" w:lineRule="auto"/>
        <w:ind w:firstLine="540"/>
        <w:jc w:val="both"/>
      </w:pPr>
      <w:r>
        <w:t>Основные средства - материальные активы, которые:</w:t>
      </w:r>
    </w:p>
    <w:p w:rsidR="009A30A7" w:rsidRDefault="009A30A7">
      <w:pPr>
        <w:spacing w:before="260" w:after="1" w:line="260" w:lineRule="auto"/>
        <w:ind w:firstLine="540"/>
        <w:jc w:val="both"/>
      </w:pPr>
      <w:r>
        <w:t xml:space="preserve">(a) предназначены </w:t>
      </w:r>
      <w:r w:rsidRPr="0057558E">
        <w:rPr>
          <w:highlight w:val="yellow"/>
        </w:rPr>
        <w:t>для использования в процессе производства или поставки товаров и предоставления услуг</w:t>
      </w:r>
      <w:r>
        <w:t>, при сдаче в аренду или в административных целях; и</w:t>
      </w:r>
    </w:p>
    <w:p w:rsidR="009A30A7" w:rsidRDefault="009A30A7">
      <w:pPr>
        <w:spacing w:before="260" w:after="1" w:line="260" w:lineRule="auto"/>
        <w:ind w:firstLine="540"/>
        <w:jc w:val="both"/>
      </w:pPr>
      <w:r>
        <w:t>(b) предполагаются к использованию в течение более чем одного периода.</w:t>
      </w:r>
    </w:p>
    <w:p w:rsidR="00891D09" w:rsidRDefault="00891D09">
      <w:pPr>
        <w:spacing w:after="1" w:line="260" w:lineRule="auto"/>
        <w:ind w:firstLine="540"/>
        <w:jc w:val="both"/>
      </w:pPr>
    </w:p>
    <w:p w:rsidR="0057558E" w:rsidRDefault="0057558E">
      <w:pPr>
        <w:spacing w:after="1" w:line="260" w:lineRule="auto"/>
        <w:ind w:firstLine="540"/>
        <w:jc w:val="both"/>
      </w:pPr>
      <w:r>
        <w:t xml:space="preserve">48 Сумма амортизационных </w:t>
      </w:r>
      <w:r w:rsidRPr="0057558E">
        <w:t>отчислений за каждый период должна</w:t>
      </w:r>
      <w:r>
        <w:t xml:space="preserve"> признаваться в составе прибыли или убытка, за исключением случаев, когда она включается в состав балансовой стоимости другого актива.</w:t>
      </w:r>
    </w:p>
    <w:p w:rsidR="0057558E" w:rsidRDefault="007D78A1">
      <w:pPr>
        <w:spacing w:after="1" w:line="260" w:lineRule="auto"/>
      </w:pPr>
      <w:hyperlink r:id="rId11">
        <w:r w:rsidR="0057558E">
          <w:rPr>
            <w:i/>
            <w:color w:val="0000FF"/>
          </w:rPr>
          <w:br/>
          <w:t>"Международный стандарт финансовой отчетности (IAS) 16 "Основные средства" (введен в действие на территории Российской Федерации приказом Минфина России от 28.12.2015 N 217н) (ред. от 17.02.2021) {КонсультантПлюс}</w:t>
        </w:r>
      </w:hyperlink>
      <w:r w:rsidR="0057558E">
        <w:br/>
      </w:r>
    </w:p>
    <w:p w:rsidR="005C179D" w:rsidRDefault="005C179D"/>
    <w:sectPr w:rsidR="005C179D" w:rsidSect="00EE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0"/>
    <w:rsid w:val="0057558E"/>
    <w:rsid w:val="005C179D"/>
    <w:rsid w:val="006306E5"/>
    <w:rsid w:val="006507C0"/>
    <w:rsid w:val="0067540B"/>
    <w:rsid w:val="007D78A1"/>
    <w:rsid w:val="00891D09"/>
    <w:rsid w:val="009A30A7"/>
    <w:rsid w:val="00B81490"/>
    <w:rsid w:val="00E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2CDB"/>
  <w15:chartTrackingRefBased/>
  <w15:docId w15:val="{DE6A1D0A-9DAB-4706-8A31-2E311EBD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B57E2385331BE5125EC010F221080694F32198ED64F2B096BDF80849B3A3198A1B8AAF6712BA30C762D7DB0FD18470392C84B4CF8F30E21P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330BA61F1A28F5F49AAF942D18A2EDEE4DA5D12D8CB26F8132D2702A837B793171F2AB5334702F3D831D8F7C09EF9EFD7319548D983D5g8N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5D950DCD26DDE74A5FF21295904B3966E4FA2A1351862B984930DF6F2C3D4768E2DAD5492FD4C7C808EB9E5AD53B95BCAD76BC5FB067CA7PEF" TargetMode="External"/><Relationship Id="rId11" Type="http://schemas.openxmlformats.org/officeDocument/2006/relationships/hyperlink" Target="consultantplus://offline/ref=17E90B1448902DEE5CA91C8CE734AB760F7C8539CB974FCBEC2E5F113E78D2A333E9A9DB0EDF8A6D91CABC3C1EEA3F129D30B0245EC12F0150oFF" TargetMode="External"/><Relationship Id="rId5" Type="http://schemas.openxmlformats.org/officeDocument/2006/relationships/hyperlink" Target="consultantplus://offline/ref=0B2698C0AD98701861567593ADDF254B0111E3C0BFB02F727944C97222A8730BA8A639A3F213436ACB51CA30881D69681FE1364E9EA6A651Q6LAF" TargetMode="External"/><Relationship Id="rId10" Type="http://schemas.openxmlformats.org/officeDocument/2006/relationships/hyperlink" Target="consultantplus://offline/ref=F86C221AAEA25237371055084C02E6C9E11D9DC83BD7357E5BCBDB625C447949A3FD100A5B05905716C705219543CB8DDE49E81C16557B81F2S1F" TargetMode="External"/><Relationship Id="rId4" Type="http://schemas.openxmlformats.org/officeDocument/2006/relationships/hyperlink" Target="consultantplus://offline/ref=FF9B79AB3BC50161AA054AD86F1033D55F59B4DD6AB74F440348822AC970B01BF4DC007EE2ED4E5A22FFE1AE290834321F9AFC75B3F8125FIFI9F" TargetMode="External"/><Relationship Id="rId9" Type="http://schemas.openxmlformats.org/officeDocument/2006/relationships/hyperlink" Target="consultantplus://offline/ref=F86C221AAEA25237371055084C02E6C9E11D9DCD3DD9357E5BCBDB625C447949A3FD100A5B05915317C705219543CB8DDE49E81C16557B81F2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Сургутнефтегаз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 Вячеслав Степанович</dc:creator>
  <cp:keywords/>
  <dc:description/>
  <cp:lastModifiedBy>Заика Вячеслав Степанович</cp:lastModifiedBy>
  <cp:revision>2</cp:revision>
  <dcterms:created xsi:type="dcterms:W3CDTF">2024-05-27T06:25:00Z</dcterms:created>
  <dcterms:modified xsi:type="dcterms:W3CDTF">2024-05-27T06:25:00Z</dcterms:modified>
</cp:coreProperties>
</file>