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91" w:rsidRPr="004A7991" w:rsidRDefault="004A7991" w:rsidP="004A7991">
      <w:pPr>
        <w:spacing w:after="360" w:line="240" w:lineRule="auto"/>
        <w:jc w:val="right"/>
        <w:rPr>
          <w:rFonts w:asciiTheme="minorHAnsi" w:eastAsiaTheme="minorHAnsi" w:hAnsiTheme="minorHAnsi" w:cstheme="minorBidi"/>
          <w:i/>
          <w:color w:val="C00000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i/>
          <w:color w:val="C00000"/>
          <w:sz w:val="28"/>
          <w:szCs w:val="28"/>
          <w:lang w:val="ru-RU"/>
        </w:rPr>
        <w:t>ПРОЕКТ к заседанию 27.11.2015</w:t>
      </w:r>
    </w:p>
    <w:p w:rsidR="004A7991" w:rsidRPr="004A7991" w:rsidRDefault="004A7991" w:rsidP="004A7991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C00000"/>
          <w:sz w:val="32"/>
          <w:szCs w:val="28"/>
          <w:lang w:val="ru-RU"/>
        </w:rPr>
      </w:pPr>
      <w:proofErr w:type="gramStart"/>
      <w:r w:rsidRPr="004A7991">
        <w:rPr>
          <w:rFonts w:asciiTheme="minorHAnsi" w:eastAsiaTheme="minorHAnsi" w:hAnsiTheme="minorHAnsi" w:cstheme="minorBidi"/>
          <w:b/>
          <w:color w:val="C00000"/>
          <w:sz w:val="32"/>
          <w:szCs w:val="28"/>
          <w:lang w:val="ru-RU"/>
        </w:rPr>
        <w:t>Комментарии Фонда</w:t>
      </w:r>
      <w:proofErr w:type="gramEnd"/>
      <w:r w:rsidRPr="004A7991">
        <w:rPr>
          <w:rFonts w:asciiTheme="minorHAnsi" w:eastAsiaTheme="minorHAnsi" w:hAnsiTheme="minorHAnsi" w:cstheme="minorBidi"/>
          <w:b/>
          <w:color w:val="C00000"/>
          <w:sz w:val="32"/>
          <w:szCs w:val="28"/>
          <w:lang w:val="ru-RU"/>
        </w:rPr>
        <w:t xml:space="preserve"> БМЦ к документу</w:t>
      </w:r>
      <w:r w:rsidRPr="004A7991">
        <w:rPr>
          <w:rFonts w:asciiTheme="minorHAnsi" w:eastAsiaTheme="minorHAnsi" w:hAnsiTheme="minorHAnsi" w:cstheme="minorBidi"/>
          <w:b/>
          <w:color w:val="C00000"/>
          <w:sz w:val="32"/>
          <w:szCs w:val="28"/>
          <w:lang w:val="ru-RU"/>
        </w:rPr>
        <w:br/>
        <w:t>«Консультации по повестке работы» Фонда МСФО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1. Баланс проектов Совета МСФО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План работы Совета МСФО включает пять основных направлений рабочих прое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к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тов:</w:t>
      </w:r>
    </w:p>
    <w:p w:rsidR="004A7991" w:rsidRPr="004A7991" w:rsidRDefault="004A7991" w:rsidP="00810F5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исследовательская программа;</w:t>
      </w:r>
    </w:p>
    <w:p w:rsidR="004A7991" w:rsidRPr="004A7991" w:rsidRDefault="004A7991" w:rsidP="00810F5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программа по принятию стандартов;</w:t>
      </w:r>
    </w:p>
    <w:p w:rsidR="004A7991" w:rsidRPr="004A7991" w:rsidRDefault="004A7991" w:rsidP="00810F5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Концептуальные основы;</w:t>
      </w:r>
    </w:p>
    <w:p w:rsidR="004A7991" w:rsidRPr="004A7991" w:rsidRDefault="004A7991" w:rsidP="00810F5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инициатива по раскрытию информации;</w:t>
      </w:r>
    </w:p>
    <w:p w:rsidR="004A7991" w:rsidRPr="004A7991" w:rsidRDefault="004A7991" w:rsidP="00810F5C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проекты поддержки и внедрения.</w:t>
      </w:r>
    </w:p>
    <w:p w:rsidR="004A7991" w:rsidRPr="004A7991" w:rsidRDefault="004A7991" w:rsidP="004A7991">
      <w:pPr>
        <w:spacing w:before="120" w:after="24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Какие факторы должен рассматривать Совет по МСФО, решая вопрос, сколько предоставить ресурсов на каждое из направлений своей работы?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Поддерживаем выделение направлений работы на основе трех основных стадий – исследовательские проекты, принятие стандартов, внедрение и поддержка станда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тов. При этом считаем необходимым минимизировать обособление специальных направлений вне этих стадий. В частности, из двух «особых» направлений (пункты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и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d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),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по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нашему мнению, только проект Концептуальные основы заслуживают того, чт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бы быть выделенным в отдельное направление. Обособление Инициативы по ра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крытиям представляется необоснованным. Эту тему лучше разбить на отдельные пр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екты и рассматривать наряду с другими темами в рамках трёх основных направлений работы. В этой связи приветствуем обособление в рамках этой темы отдельного пр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екта «Основные финансовые отчёты».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Распределение ресурсов между направлениями работы над МСФО следует ос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у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ществлять исходя из приоритета и срочности соответствующих проектов в каждом из этих направлений в конкретный момент времени. Поскольку соотношение приорите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ных и срочных проектов меняется, соответственно должно изменяться и распредел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ние ресурсов между направлениями работы.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2. Исследовательские проекты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Исследовательская программа Совета МСФО изложена в параграфе 32 и допо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л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 xml:space="preserve">нительная потенциальная тема исследования по 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</w:rPr>
        <w:t>IFRS 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5 отмечена в параграфе 33: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Должен ли Совет МСФО:</w:t>
      </w:r>
    </w:p>
    <w:p w:rsidR="004A7991" w:rsidRPr="004A7991" w:rsidRDefault="004A7991" w:rsidP="00810F5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добавить какие-либо новые проекты в свою исследовательскую программу? Какие именно проекты, и почему? Также просьба отметить, каким текущим исследов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а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lastRenderedPageBreak/>
        <w:t>тельским проектам следует уделить меньше внимания, чтобы дать возможность Совету МСФО развивать проекты, которые вы предлагаете добавить.</w:t>
      </w:r>
    </w:p>
    <w:p w:rsidR="004A7991" w:rsidRPr="004A7991" w:rsidRDefault="004A7991" w:rsidP="00810F5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удалить из своей исследовательской программы проекты по пересчёту иностра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н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ной валюты (см. параграфы 39 – 41) и по высокой инфляции. Почему или почему нет?</w:t>
      </w:r>
    </w:p>
    <w:p w:rsidR="004A7991" w:rsidRPr="004A7991" w:rsidRDefault="004A7991" w:rsidP="00810F5C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удалить какие-либо другие проекты из своей исследовательской программы?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(а)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По нашему мнению, следующие проекты целесообразно включить в план 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боты над МСФО: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Отчетность дочерних организаций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Авансы и предоплаты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Косвенный контроль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Расходы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Некоммерческая деятельность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Отчетность дочерних организаций.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Сегодня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IFRS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 10 и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IAS 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27 дают возможность организации не консолидировать свои дочерние организации и представлять их пр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сто как инвестиции в случае, когда она может сослаться на консолидированную отчё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ность вышестоящей материнской организации и при соблюдении ещё ряда условий (составить так называемую «отдельную» отчетность). То же самое касается разреш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ния не применять метод долевого участия в отношении инвестиций в зависимые ко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м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пании и совместный бизнес. По существу, эти возможности представляют собой упрощения для организации, основанные на принципе рациональности. Между тем, эти упрощения – не единственные, в которых нуждается организация, находящаяся под контролем вышестоящей материнской организации. В частности, она вынуждена формировать в своём бухучёте для многих своих активов и обязательств по две сто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мости – одна стоимость для консолидированной отчётности вышестоящей матери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ской организации, основанная на правилах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IFRS 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3, и другая стоимость для своей ли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ч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ной отчётности, основанная на общих правилах МСФО. Почему бы не разрешить ей вести свой собственный учёт по тем стоимостям, которые используются в консолид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рованной отчётности вышестоящей материнской организации? То же самое касается объектов, полученных от других субъектов холдинга по внутригрупповым сделкам. Почему бы не разрешить организации учитывать такие объекты по балансовой сто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мости передающей стороны. Представляется целесообразным рассмотреть возмо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ж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ность всех подобных упрощений в совокупности наряду с теми, которые уже есть в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IFRS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 10 и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IAS 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27.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Авансы и предоплаты.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Сегодня авансы – это, наверное, самое большое «белое пятно» в МСФО. Регулирования нет никакого – ни по признанию, ни по оценке, ни по классификации, ни по представлению информации в отчётности. На практике вопросы и «развилки» возникают в части всех указанных аспектов бухучёта. И единообразных 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lastRenderedPageBreak/>
        <w:t>решений нет. Практика очень разнолика. При этом попытки применить §.11 IAS 8 ста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киваются с массой противоречий.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Косвенный контроль.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Существующее понятие консолидированной отчётности сбивает с толку. С точки зрения определения консолидированная отчётность – это 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чётность группы, то есть нескольких организаций. Но с точки зрения содержания тр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бований стандартов, консолидированной отчетность – это отчетность одной конкре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ной организации, в которой отражаются все активы и обязательства, находящиеся под ее контролем. В этой связи в проекте новых концептуальных основах МСФО появилось понятие косвенного контроля. Представляется целесообразным использовать это п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нятие для изложения норм Стандартов по консолидации и может быть даже отказат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ь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ся термина «консолидация» как такового. Это позволит сделать нормы стандартов б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лее понятными.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Расходы.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Это один из пяти базовых элементов финансовой отчётности. Предста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ляется странным, что по нему в МСФО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отсутствует какое бы то ни было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регулирование. Существует негласная презумпция расхода: если не соблюдаются условия признания актива, то любая затрата признаётся расходом автоматически. Но эта презумпция н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как не зафиксирована в стандартах. Вопросы классификации расходов в МСФО тоже фактически не решаются.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Отдельный комплекс проблем связан с существующем на практике феноменом «отложенных расходов» (РБП), которые представляются в б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лансе в качестве активов.</w:t>
      </w:r>
      <w:proofErr w:type="gramEnd"/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Некоммерческая деятельность.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Так называемые МСФО для общественного се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тора ориентированы на государственный сектор и для частных некоммерческих орг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низаций не приспособлены.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Частный некоммерческий сектор повсеместно применяет обычные МСФО, несмотря на то, что эти стандарты создавались для коммерческих 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ганизаций. Но не все подходы МСФО применимы к ситуациям, когда организация не ставит целью получить прибыль. Трудности возникают во всех случаях, где текущие оценки основаны на будущих денежных потоках. Наглядным примером служит обе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ценение активов. Сама концепция признания актива, основанная на способности 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сурса приносить экономические выгоды в будущем, не подходит для некоммерческой деятельности. В этой связи требуется специальное руководство, которым бы устана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ливались хотя бы самые общие особенности применения МСФО для организаций (или для ситуаций), когда цель получения прибыли не ставится.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 целях высвобождения ресурсов для продвижения указанных проектов может быть сокращена работа над следующими менее приоритетными исследовательскими проектами: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Определение бизнеса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</w:r>
      <w:proofErr w:type="spell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Гудвил</w:t>
      </w:r>
      <w:proofErr w:type="spell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и обесценение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Квоты на загрязнение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lastRenderedPageBreak/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Пенсии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Платежи на основе долей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Динамическое управление рисками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Долевой метод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Финансовые инструменты с характеристиками капитала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Нематериальные активы</w:t>
      </w:r>
    </w:p>
    <w:p w:rsidR="004A7991" w:rsidRPr="004A7991" w:rsidRDefault="004A7991" w:rsidP="004A7991">
      <w:pPr>
        <w:spacing w:after="0" w:line="240" w:lineRule="auto"/>
        <w:ind w:left="284" w:hanging="284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  <w:t>Исследования и разработки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Кроме того, по нашему мнению, требуется скорректировать предметы следу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ю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щих проектов.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Налоги на прибыль.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Предмет проекта следует расширить, охватив все без искл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ю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чения обязательные платежи в бюджет фискального характера. Из всех фискальных обременений существующие МСФО регулируют только налоги на прибыль (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IAS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12) и некоторые сборы (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IFRIC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21). Большое число вопросов не охвачено. В частности, много вопросов связано с НДС. С одной стороны, он, как косвенный налог не включается в доходы расходы. С другой стороны, он является частью </w:t>
      </w:r>
      <w:proofErr w:type="spell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дебиторки</w:t>
      </w:r>
      <w:proofErr w:type="spell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покупателей и </w:t>
      </w:r>
      <w:proofErr w:type="spell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диторки</w:t>
      </w:r>
      <w:proofErr w:type="spell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перед поставщиками, откуда исключить его невозможно. Также требуют 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шения вопросы взаимозаменяемости разных налогов и сборов.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Ставки дисконтирования.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Предмет этого проекта тоже следует расширить и ра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сматривать не только вопросы процентных ставок, но дисконтирование в целом как метод оценки активов и обязательств, где ставка является одним из требующих реш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ния вопросов, но не единственным. Более подходящим рабочим названием проекта могло бы быть «Приведенная стоимость».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Оценочные обязательства, условные обязательства и активы.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В этом проекте основное внимание следует сосредоточить на ликвидационных обязательствах.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Исх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дя из существующих подходов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IAS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 37 получается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, что обладание любым материал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ь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ным объектом должно приводить к признанию ликвидационного обязательства, п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скольку владелец любого объекта обязан надлежащим образом его утилизировать. В этом смысле одновременное признание актива и обязательства в отношении одного и того же имущественного объекта представляется неадекватным. Требуется найти к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кой-то способ их взаимозачёта. Сужение темы позволит более эффективно использ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вать ресурсы.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(b)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В рамках проекта по пересчету иностранной валюты требуют решения отдел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ь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ные вопросы. Например, вопрос капитализации курсовых разниц аналогично капит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лизации процентов. Но это вопросы узкие, и их можно решать в рамках ежегодных обновлений МСФО. Поэтому сам проект можно удалить из исследовательской пр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граммы.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Проект по высокой можно оставить в исследовательской программе и перевести его из категории «Не активные» в категорию «В процессе оценки» при условии ра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lastRenderedPageBreak/>
        <w:t>смотрения всех вопросов инфляции в комплексе, а не только высокой инфляции. 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у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щественность и так применяется ко всем вопросам применения МСФО без исключ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ния. Поэтому правила для учета инфляции должны быть едиными, а применение того или иного подхода должно определяться в зависимости от конкретных параметров инфляции и соотношения монетарных и немонетарных статей в отчетности организ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ции.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>(с)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Проект по учету в добывающих отраслях целесообразно сохранить в исслед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вательской программе и перевести из категории «Не активные» в категорию «В пр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цессе оценки». Существующие положения МСФО ограничены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IFRS 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6. А в нём по бол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ь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шинству вопросов никаких конкретных руководств не содержится. Причём стандарт охватывает лишь освоение минеральных ресурсов. А в добывающих отраслях много нерешённых вопросов и на этапе добычи. Например, проблема признания и оценки ещё не извлечённых запасов полезных ископаемых в недрах.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Проекты по учету нематериальных активов, исследований и разработок можно исключить из исследовательской программы и вернуться к их проработке по мере 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шения вопросов, имеющих более высокий приоритет в настоящее время.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Кроме того, допустима приостановка работы над проектами, отмеченными в та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б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лице к вопросу 3 как имеющие низкие приоритет и срочность.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3. Ранжирование исследовательских проектов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Для каждого проекта исследовательской программы, включая любые новые пр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о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екты, предложенные вами при ответе на вопрос 2, пожалуйста, укажите его относ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и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тельную важность (высокая/ средняя/ низкая) и срочность (высокая/ средняя/ низкая).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Также опишите, пожалуйста, факторы, которые использовались вами при ранж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и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ровании, особенно для тех проектов, важность или срочность которых обозначена как «высокая» или «низкая».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Факторы, относящиеся к конкретным проектам, описаны в ответе на вопрос 2.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Что касается общих подходов, то, по нашему мнению,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при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ранжирование</w:t>
      </w:r>
      <w:proofErr w:type="gramEnd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иссл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довательских проектов по приоритету и срочности с целью эффективного распредел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ния ресурсов  Фонда МСФО для работы над ними, использовались следующие факт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ры:</w:t>
      </w:r>
    </w:p>
    <w:p w:rsidR="004A7991" w:rsidRPr="004A7991" w:rsidRDefault="004A7991" w:rsidP="004A7991">
      <w:pPr>
        <w:tabs>
          <w:tab w:val="left" w:pos="851"/>
        </w:tabs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</w: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Охват вопросов существующими стандартами.</w:t>
      </w:r>
      <w:r w:rsidRPr="004A7991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 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Вопросы, по которым руково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д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ство в МСФО отсутствует, следует считать более приоритетными по сравнению с в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просами, по которым руководство уже существует, но требуются его улучшения.</w:t>
      </w:r>
    </w:p>
    <w:p w:rsidR="004A7991" w:rsidRPr="004A7991" w:rsidRDefault="004A7991" w:rsidP="004A7991">
      <w:pPr>
        <w:tabs>
          <w:tab w:val="left" w:pos="851"/>
        </w:tabs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</w: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Распространенность хозяйственных ситуаций на практике.</w:t>
      </w:r>
      <w:r w:rsidRPr="004A7991">
        <w:rPr>
          <w:rFonts w:asciiTheme="minorHAnsi" w:eastAsiaTheme="minorHAnsi" w:hAnsiTheme="minorHAnsi" w:cstheme="minorBidi"/>
          <w:b/>
          <w:sz w:val="28"/>
          <w:szCs w:val="28"/>
          <w:lang w:val="ru-RU"/>
        </w:rPr>
        <w:t xml:space="preserve"> </w:t>
      </w:r>
      <w:proofErr w:type="gramStart"/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Вопросы, с кот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рыми часто сталкивается большинство отчитывающихся по МСФО компаний, следует считать более приоритетными по сравнению с вопросами, которые возникают редко, либо которые характерны для узкого круга компаний.</w:t>
      </w:r>
      <w:proofErr w:type="gramEnd"/>
    </w:p>
    <w:p w:rsidR="004A7991" w:rsidRPr="004A7991" w:rsidRDefault="004A7991" w:rsidP="004A7991">
      <w:pPr>
        <w:tabs>
          <w:tab w:val="left" w:pos="851"/>
        </w:tabs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lastRenderedPageBreak/>
        <w:t>–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ab/>
      </w:r>
      <w:r w:rsidRPr="004A7991">
        <w:rPr>
          <w:rFonts w:asciiTheme="minorHAnsi" w:eastAsiaTheme="minorHAnsi" w:hAnsiTheme="minorHAnsi" w:cstheme="minorBidi"/>
          <w:b/>
          <w:sz w:val="28"/>
          <w:szCs w:val="28"/>
          <w:u w:val="single"/>
          <w:lang w:val="ru-RU"/>
        </w:rPr>
        <w:t>Практическая востребованность.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Вопросы, применяемые на практике не ед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нообразно, по которым часто возникают споры между разными специалистами, ме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ж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ду отчитывающейся компанией и аудитором, следует считать более приоритетными по сравнению с вопросами, которые родились из теоретических соображений во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з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можного улучшения качества информации в отчётности.</w:t>
      </w:r>
    </w:p>
    <w:p w:rsidR="004A7991" w:rsidRPr="004A7991" w:rsidRDefault="004A7991" w:rsidP="004A7991">
      <w:pPr>
        <w:spacing w:after="24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Исходя из названных факторов, а также с учётом указанных к вопросу 2 новых проектов и изменений названий текущих проектов, предлагаем следующее ранжир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вание проектов МСФО.</w:t>
      </w:r>
    </w:p>
    <w:tbl>
      <w:tblPr>
        <w:tblStyle w:val="13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417"/>
        <w:gridCol w:w="1418"/>
      </w:tblGrid>
      <w:tr w:rsidR="004A7991" w:rsidRPr="004A7991" w:rsidTr="00951A9E">
        <w:trPr>
          <w:cantSplit/>
        </w:trPr>
        <w:tc>
          <w:tcPr>
            <w:tcW w:w="1668" w:type="dxa"/>
          </w:tcPr>
          <w:p w:rsidR="004A7991" w:rsidRPr="004A7991" w:rsidRDefault="004A7991" w:rsidP="004A7991">
            <w:pPr>
              <w:keepNext/>
              <w:spacing w:after="160" w:line="259" w:lineRule="auto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  <w:t>Стадия проекта</w:t>
            </w:r>
          </w:p>
        </w:tc>
        <w:tc>
          <w:tcPr>
            <w:tcW w:w="4961" w:type="dxa"/>
          </w:tcPr>
          <w:p w:rsidR="004A7991" w:rsidRPr="004A7991" w:rsidRDefault="004A7991" w:rsidP="004A7991">
            <w:pPr>
              <w:keepNext/>
              <w:spacing w:after="160" w:line="259" w:lineRule="auto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  <w:t>Название проекта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keepNext/>
              <w:spacing w:after="160" w:line="259" w:lineRule="auto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A7991"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  <w:t>Сроч</w:t>
            </w:r>
            <w:proofErr w:type="spellEnd"/>
            <w:r w:rsidRPr="004A7991">
              <w:rPr>
                <w:rFonts w:asciiTheme="minorHAnsi" w:eastAsiaTheme="minorHAnsi" w:hAnsiTheme="minorHAnsi"/>
                <w:b/>
                <w:sz w:val="28"/>
                <w:szCs w:val="28"/>
              </w:rPr>
              <w:t>-</w:t>
            </w:r>
            <w:proofErr w:type="spellStart"/>
            <w:r w:rsidRPr="004A7991"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1418" w:type="dxa"/>
          </w:tcPr>
          <w:p w:rsidR="004A7991" w:rsidRPr="004A7991" w:rsidRDefault="004A7991" w:rsidP="004A7991">
            <w:pPr>
              <w:keepNext/>
              <w:spacing w:after="160" w:line="259" w:lineRule="auto"/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A7991">
              <w:rPr>
                <w:rFonts w:asciiTheme="minorHAnsi" w:eastAsiaTheme="minorHAnsi" w:hAnsiTheme="minorHAnsi"/>
                <w:b/>
                <w:sz w:val="28"/>
                <w:szCs w:val="28"/>
                <w:lang w:val="ru-RU"/>
              </w:rPr>
              <w:t>Прио-ритет</w:t>
            </w:r>
            <w:proofErr w:type="spellEnd"/>
            <w:proofErr w:type="gramEnd"/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 w:val="restart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Стадия оценки</w:t>
            </w: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Определение бизнеса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Приведенная стоимость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proofErr w:type="spellStart"/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Гудвил</w:t>
            </w:r>
            <w:proofErr w:type="spellEnd"/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 xml:space="preserve"> и Обесценение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Налоги и сборы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Квоты на загрязнение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Пенсии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Основные финансовые отчёты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Ликвидационные обязательства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Платежи на основе долей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Некоммерческая деятельность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Отчетность дочерних организаций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Косвенный контроль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Авансы и предоплаты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 w:val="restart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Стадия ра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з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работки</w:t>
            </w: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Объединение бизнеса под общим ко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тролем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Инициатива по раскрытию информ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а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ции – принципы раскрытий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Динамическое управление рисками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Долевой метод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Финансовые инструменты с характер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и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стиками капитала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 w:val="restart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Не акти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</w:t>
            </w: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ные</w:t>
            </w: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 xml:space="preserve">Учет в добывающих компаниях 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Высокий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Нематериальные активы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Исследования и разработки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Низкая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Пересчет иностранной валюты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Низкий</w:t>
            </w:r>
          </w:p>
        </w:tc>
      </w:tr>
      <w:tr w:rsidR="004A7991" w:rsidRPr="004A7991" w:rsidTr="00951A9E">
        <w:trPr>
          <w:cantSplit/>
        </w:trPr>
        <w:tc>
          <w:tcPr>
            <w:tcW w:w="1668" w:type="dxa"/>
            <w:vMerge/>
          </w:tcPr>
          <w:p w:rsidR="004A7991" w:rsidRPr="004A7991" w:rsidRDefault="004A7991" w:rsidP="004A7991">
            <w:pPr>
              <w:spacing w:after="160" w:line="259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Инфляция</w:t>
            </w:r>
          </w:p>
        </w:tc>
        <w:tc>
          <w:tcPr>
            <w:tcW w:w="1417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1418" w:type="dxa"/>
          </w:tcPr>
          <w:p w:rsidR="004A7991" w:rsidRPr="004A7991" w:rsidRDefault="004A7991" w:rsidP="004A7991">
            <w:pPr>
              <w:spacing w:after="0" w:line="240" w:lineRule="auto"/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</w:pPr>
            <w:r w:rsidRPr="004A7991">
              <w:rPr>
                <w:rFonts w:asciiTheme="minorHAnsi" w:eastAsiaTheme="minorHAnsi" w:hAnsiTheme="minorHAnsi"/>
                <w:sz w:val="28"/>
                <w:szCs w:val="28"/>
                <w:lang w:val="ru-RU"/>
              </w:rPr>
              <w:t>Средний</w:t>
            </w:r>
          </w:p>
        </w:tc>
      </w:tr>
    </w:tbl>
    <w:p w:rsidR="004A7991" w:rsidRPr="004A7991" w:rsidRDefault="004A7991" w:rsidP="004A7991">
      <w:pPr>
        <w:spacing w:after="0" w:line="240" w:lineRule="auto"/>
        <w:ind w:firstLine="851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4. Главные проекты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Есть ли у вас какие-то комментарии к планам работы Совета МСФО по главным проектам?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Как уже отмечалось при ответе на вопрос 1, проект «Инициатива по раскрытиям» следует рассматривать в рамках отдельных проектов. По нашему мнению, основные усилия в этом направлении следует сосредоточить на вопросах представления кол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чественных показателей. В частности, представляет интерес выделившаяся тема «О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новные финансовые отчёты», в частности, вопросы структуры основных отчётов, по которым положения МСФО крайне скудные и зачастую противоречивые. В этой связи целесообразно реанимировать замороженный в середине 2000-х годов проект ко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м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плексного отчета, в котором показатели баланса, прибылей / убытков и денежных п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токов сводились бы в одну таблицу.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5. Проекты поддержки и внедрения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Предоставляет ли Совет МСФО и Комитет по Интерпретациям в правильном соч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е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тании надлежащую поддержку применения стандартов для того, чтобы удовлетворять интересы пользователей, и достаточна ли эта поддержка (см. параграфы 19 – 23 и 50 – 53)?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Считаем, что поддержка внедрения новых стандартов требует дополнительных усилий в части оперативного принятия точечных поправок в связи с обнаруженными при практическом применении проблемами.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 этой связи следует отметить, что внесение изменений в стандарты и принятие разъяснений (интерпретаций) стандартов является более эффективным, чем принятие отдельных решений по повестке заседаний (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Agenda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 xml:space="preserve"> </w:t>
      </w:r>
      <w:r w:rsidRPr="004A7991">
        <w:rPr>
          <w:rFonts w:asciiTheme="minorHAnsi" w:eastAsiaTheme="minorHAnsi" w:hAnsiTheme="minorHAnsi" w:cstheme="minorBidi"/>
          <w:sz w:val="28"/>
          <w:szCs w:val="28"/>
        </w:rPr>
        <w:t>decisions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), выпускаемых Комит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том по интерпретациям.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6. Степень изменений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Вносятся ли изменения в план работы Совета МСФО в целом с надлежащей ск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о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ростью и в надлежащей детализации? Почему или почему нет?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Считаем скорость и детализацию изменений плана работы Совета по МСФО пр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и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емлемыми.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7. Прочие комментарии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Есть ли у вас какие-либо иные комментарии по планам работы Совета МСФО?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lastRenderedPageBreak/>
        <w:t>В части повышения эффективности применения МСФО предлагаем рассмотреть вопрос обобщения рекомендаций по применению МСФО, выпускаемых национал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ь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ными институтами по вопросам, которые в настоящий момент не урегулированы МСФО. Такое обобщение может рассматриваться в контексте применения §.11 IAS 8. Ряд таких рекомендаций может быть предоставлен БМЦ.</w:t>
      </w:r>
    </w:p>
    <w:p w:rsidR="004A7991" w:rsidRPr="004A7991" w:rsidRDefault="004A7991" w:rsidP="004A7991">
      <w:pPr>
        <w:keepNext/>
        <w:spacing w:before="240" w:after="0" w:line="240" w:lineRule="auto"/>
        <w:ind w:firstLine="567"/>
        <w:jc w:val="both"/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b/>
          <w:color w:val="006666"/>
          <w:sz w:val="32"/>
          <w:szCs w:val="28"/>
          <w:lang w:val="ru-RU"/>
        </w:rPr>
        <w:t>Вопрос 8. Частота консультаций по повестке работы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Поскольку для завершения отдельных больших проектов требуется время, Совет МСФО рассматривает пятилетний интервал между консультациями по повестке раб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 xml:space="preserve">ты наиболее </w:t>
      </w:r>
      <w:proofErr w:type="gramStart"/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>подходящим</w:t>
      </w:r>
      <w:proofErr w:type="gramEnd"/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lang w:val="ru-RU"/>
        </w:rPr>
        <w:t xml:space="preserve">. 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Согласны ли вы? Почему или почему нет?</w:t>
      </w:r>
    </w:p>
    <w:p w:rsidR="004A7991" w:rsidRPr="004A7991" w:rsidRDefault="004A7991" w:rsidP="004A7991">
      <w:pPr>
        <w:spacing w:before="120" w:after="120" w:line="240" w:lineRule="auto"/>
        <w:ind w:firstLine="567"/>
        <w:jc w:val="both"/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</w:pPr>
      <w:r w:rsidRPr="004A7991">
        <w:rPr>
          <w:rFonts w:asciiTheme="minorHAnsi" w:eastAsiaTheme="minorHAnsi" w:hAnsiTheme="minorHAnsi" w:cstheme="minorBidi"/>
          <w:color w:val="006666"/>
          <w:sz w:val="28"/>
          <w:szCs w:val="28"/>
          <w:u w:val="single"/>
          <w:lang w:val="ru-RU"/>
        </w:rPr>
        <w:t>Если не согласны, то какой интервал вы предлагаете? Почему?</w:t>
      </w:r>
    </w:p>
    <w:p w:rsidR="004A7991" w:rsidRPr="004A7991" w:rsidRDefault="004A7991" w:rsidP="004A7991">
      <w:pPr>
        <w:spacing w:before="120"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Учитывая сложившийся формат консультаций, интервал между ними в пять лет является чрезмерно большим с точки зрения способности своевременного выявления потребности в изменениях. Вместе с тем можно сохранить такой интервал при усл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о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вии ограничения предмета консультаций. Один раз в пять лет целесообразно обсу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ж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дать общие вопросы повестки работы над МСФО – выделение направлений работы, соотношение между ними, вопросы организации порядка работы, форматы докуме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тов, в которых воплощаются результаты работы.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Вопросы наполнения направлений работы конкретными темами и распредел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ние ресурсов между этими темами должны обсуждаться более часто. В этой связи следует рассмотреть возможность консультаций по тематике конкретных проектов в непрерывном режиме, когда решения о прекращении работы над какими-то прое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тами и о начале работы над новыми проектами принимаются по мере изменения т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кущей ситуации. В этой связи заинтересованным лицам должна быть предоставлена возможность направлять предложения по тематике проектов не в ограниченный п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е</w:t>
      </w:r>
      <w:r w:rsidRPr="004A7991">
        <w:rPr>
          <w:rFonts w:asciiTheme="minorHAnsi" w:eastAsiaTheme="minorHAnsi" w:hAnsiTheme="minorHAnsi" w:cstheme="minorBidi"/>
          <w:sz w:val="28"/>
          <w:szCs w:val="28"/>
          <w:lang w:val="ru-RU"/>
        </w:rPr>
        <w:t>риод времени в рамках обсуждения выпускаемого раз в несколько лет документа, а в любое время.</w:t>
      </w:r>
    </w:p>
    <w:p w:rsidR="004A7991" w:rsidRPr="004A7991" w:rsidRDefault="004A7991" w:rsidP="004A7991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676167" w:rsidRPr="004A7991" w:rsidRDefault="00676167" w:rsidP="004A7991">
      <w:pPr>
        <w:rPr>
          <w:lang w:val="ru-RU"/>
        </w:rPr>
      </w:pPr>
      <w:bookmarkStart w:id="0" w:name="_GoBack"/>
      <w:bookmarkEnd w:id="0"/>
    </w:p>
    <w:sectPr w:rsidR="00676167" w:rsidRPr="004A7991" w:rsidSect="00B25516"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5C" w:rsidRDefault="00810F5C" w:rsidP="00E4038F">
      <w:pPr>
        <w:spacing w:after="0" w:line="240" w:lineRule="auto"/>
      </w:pPr>
      <w:r>
        <w:separator/>
      </w:r>
    </w:p>
  </w:endnote>
  <w:endnote w:type="continuationSeparator" w:id="0">
    <w:p w:rsidR="00810F5C" w:rsidRDefault="00810F5C" w:rsidP="00E4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593101"/>
      <w:docPartObj>
        <w:docPartGallery w:val="Page Numbers (Bottom of Page)"/>
        <w:docPartUnique/>
      </w:docPartObj>
    </w:sdtPr>
    <w:sdtEndPr/>
    <w:sdtContent>
      <w:p w:rsidR="00565EBE" w:rsidRDefault="00565EB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991" w:rsidRPr="004A7991">
          <w:rPr>
            <w:noProof/>
            <w:lang w:val="ru-RU"/>
          </w:rPr>
          <w:t>2</w:t>
        </w:r>
        <w:r>
          <w:fldChar w:fldCharType="end"/>
        </w:r>
      </w:p>
    </w:sdtContent>
  </w:sdt>
  <w:p w:rsidR="00565EBE" w:rsidRDefault="00565E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5C" w:rsidRDefault="00810F5C" w:rsidP="00E4038F">
      <w:pPr>
        <w:spacing w:after="0" w:line="240" w:lineRule="auto"/>
      </w:pPr>
      <w:r>
        <w:separator/>
      </w:r>
    </w:p>
  </w:footnote>
  <w:footnote w:type="continuationSeparator" w:id="0">
    <w:p w:rsidR="00810F5C" w:rsidRDefault="00810F5C" w:rsidP="00E4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170" w:type="dxa"/>
        <w:right w:w="0" w:type="dxa"/>
      </w:tblCellMar>
      <w:tblLook w:val="0000" w:firstRow="0" w:lastRow="0" w:firstColumn="0" w:lastColumn="0" w:noHBand="0" w:noVBand="0"/>
    </w:tblPr>
    <w:tblGrid>
      <w:gridCol w:w="4213"/>
      <w:gridCol w:w="6274"/>
    </w:tblGrid>
    <w:tr w:rsidR="000E3515" w:rsidRPr="00AB4E29" w:rsidTr="00602510">
      <w:trPr>
        <w:trHeight w:hRule="exact" w:val="1021"/>
      </w:trPr>
      <w:tc>
        <w:tcPr>
          <w:tcW w:w="4213" w:type="dxa"/>
          <w:tcBorders>
            <w:top w:val="single" w:sz="8" w:space="0" w:color="FFFFFF"/>
            <w:left w:val="single" w:sz="8" w:space="0" w:color="FFFFFF"/>
            <w:bottom w:val="single" w:sz="8" w:space="0" w:color="auto"/>
            <w:right w:val="single" w:sz="8" w:space="0" w:color="FFFFFF"/>
          </w:tcBorders>
          <w:vAlign w:val="bottom"/>
        </w:tcPr>
        <w:p w:rsidR="000E3515" w:rsidRPr="005B48C0" w:rsidRDefault="003A0CC0" w:rsidP="005B48C0">
          <w:pPr>
            <w:spacing w:before="120" w:after="0" w:line="240" w:lineRule="auto"/>
            <w:rPr>
              <w:rFonts w:ascii="Arial Narrow" w:hAnsi="Arial Narrow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9B3E094" wp14:editId="24BB5699">
                <wp:extent cx="1714500" cy="638175"/>
                <wp:effectExtent l="0" t="0" r="0" b="9525"/>
                <wp:docPr id="41" name="Рисунок 41" descr="http://bmcenter.ru/users/3078/img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http://bmcenter.ru/users/3078/img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 Narrow" w:hAnsi="Arial Narrow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1F5F456" wp14:editId="13AB6F65">
                <wp:extent cx="2152650" cy="476250"/>
                <wp:effectExtent l="0" t="0" r="0" b="0"/>
                <wp:docPr id="42" name="Рисунок 42" descr="Logo480x120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Logo480x120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2DD3B9A" wp14:editId="6C44487A">
                <wp:extent cx="2381250" cy="1038225"/>
                <wp:effectExtent l="0" t="0" r="0" b="9525"/>
                <wp:docPr id="43" name="Рисунок 43" descr="http://bmcenter.ru/users/3078/img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http://bmcenter.ru/users/3078/img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4" w:type="dxa"/>
          <w:tcBorders>
            <w:top w:val="single" w:sz="8" w:space="0" w:color="FFFFFF"/>
            <w:left w:val="single" w:sz="8" w:space="0" w:color="FFFFFF"/>
            <w:bottom w:val="single" w:sz="8" w:space="0" w:color="auto"/>
            <w:right w:val="single" w:sz="8" w:space="0" w:color="FFFFFF"/>
          </w:tcBorders>
          <w:vAlign w:val="bottom"/>
        </w:tcPr>
        <w:p w:rsidR="000E3515" w:rsidRPr="005B48C0" w:rsidRDefault="000E3515" w:rsidP="005B48C0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ru-RU"/>
            </w:rPr>
          </w:pPr>
        </w:p>
      </w:tc>
    </w:tr>
  </w:tbl>
  <w:p w:rsidR="000E3515" w:rsidRPr="005B48C0" w:rsidRDefault="000E3515" w:rsidP="005B48C0">
    <w:pPr>
      <w:pStyle w:val="ac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170" w:type="dxa"/>
        <w:right w:w="0" w:type="dxa"/>
      </w:tblCellMar>
      <w:tblLook w:val="0000" w:firstRow="0" w:lastRow="0" w:firstColumn="0" w:lastColumn="0" w:noHBand="0" w:noVBand="0"/>
    </w:tblPr>
    <w:tblGrid>
      <w:gridCol w:w="4213"/>
      <w:gridCol w:w="6274"/>
    </w:tblGrid>
    <w:tr w:rsidR="000E3515" w:rsidRPr="00AB4E29" w:rsidTr="00992B52">
      <w:trPr>
        <w:trHeight w:hRule="exact" w:val="1021"/>
      </w:trPr>
      <w:tc>
        <w:tcPr>
          <w:tcW w:w="4336" w:type="dxa"/>
          <w:tcBorders>
            <w:top w:val="single" w:sz="8" w:space="0" w:color="FFFFFF"/>
            <w:left w:val="single" w:sz="8" w:space="0" w:color="FFFFFF"/>
            <w:bottom w:val="single" w:sz="8" w:space="0" w:color="auto"/>
            <w:right w:val="single" w:sz="8" w:space="0" w:color="FFFFFF"/>
          </w:tcBorders>
          <w:vAlign w:val="bottom"/>
        </w:tcPr>
        <w:p w:rsidR="000E3515" w:rsidRPr="004E4B07" w:rsidRDefault="003A0CC0" w:rsidP="004E4B07">
          <w:pPr>
            <w:spacing w:before="120" w:after="0" w:line="240" w:lineRule="auto"/>
            <w:rPr>
              <w:rFonts w:ascii="Arial Narrow" w:hAnsi="Arial Narrow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29D5FBE" wp14:editId="3A6EB365">
                <wp:extent cx="1714500" cy="638175"/>
                <wp:effectExtent l="0" t="0" r="0" b="9525"/>
                <wp:docPr id="44" name="Рисунок 44" descr="http://bmcenter.ru/users/3078/img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http://bmcenter.ru/users/3078/img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top w:val="single" w:sz="8" w:space="0" w:color="FFFFFF"/>
            <w:left w:val="single" w:sz="8" w:space="0" w:color="FFFFFF"/>
            <w:bottom w:val="single" w:sz="8" w:space="0" w:color="auto"/>
            <w:right w:val="single" w:sz="8" w:space="0" w:color="FFFFFF"/>
          </w:tcBorders>
          <w:vAlign w:val="bottom"/>
        </w:tcPr>
        <w:p w:rsidR="000E3515" w:rsidRPr="004E4B07" w:rsidRDefault="000E3515" w:rsidP="004E4B07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ru-RU"/>
            </w:rPr>
          </w:pPr>
        </w:p>
      </w:tc>
    </w:tr>
  </w:tbl>
  <w:p w:rsidR="000E3515" w:rsidRPr="004E4B07" w:rsidRDefault="000E3515">
    <w:pPr>
      <w:pStyle w:val="ac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B73"/>
    <w:multiLevelType w:val="multilevel"/>
    <w:tmpl w:val="B064722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pStyle w:val="s0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s091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s12101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s1601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pStyle w:val="s170101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7C121E4"/>
    <w:multiLevelType w:val="hybridMultilevel"/>
    <w:tmpl w:val="FE0463A4"/>
    <w:lvl w:ilvl="0" w:tplc="2700715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36E2796"/>
    <w:multiLevelType w:val="hybridMultilevel"/>
    <w:tmpl w:val="55FC2A42"/>
    <w:lvl w:ilvl="0" w:tplc="12DE4F6C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56D35"/>
    <w:multiLevelType w:val="hybridMultilevel"/>
    <w:tmpl w:val="FE0463A4"/>
    <w:lvl w:ilvl="0" w:tplc="2700715A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91"/>
    <w:rsid w:val="00001045"/>
    <w:rsid w:val="0000667A"/>
    <w:rsid w:val="00012A90"/>
    <w:rsid w:val="00012AB8"/>
    <w:rsid w:val="00014C3D"/>
    <w:rsid w:val="00021EC3"/>
    <w:rsid w:val="00023766"/>
    <w:rsid w:val="00023A4E"/>
    <w:rsid w:val="00024DDD"/>
    <w:rsid w:val="0002598D"/>
    <w:rsid w:val="00025FB3"/>
    <w:rsid w:val="000261AA"/>
    <w:rsid w:val="000274E3"/>
    <w:rsid w:val="00030DCA"/>
    <w:rsid w:val="0003101B"/>
    <w:rsid w:val="0003424E"/>
    <w:rsid w:val="00034B9D"/>
    <w:rsid w:val="000373D3"/>
    <w:rsid w:val="000478C8"/>
    <w:rsid w:val="00051CA0"/>
    <w:rsid w:val="00053D08"/>
    <w:rsid w:val="00053FE4"/>
    <w:rsid w:val="00054CA0"/>
    <w:rsid w:val="00055A80"/>
    <w:rsid w:val="000619ED"/>
    <w:rsid w:val="00061C49"/>
    <w:rsid w:val="00061DBF"/>
    <w:rsid w:val="00063809"/>
    <w:rsid w:val="00064FA8"/>
    <w:rsid w:val="000705E6"/>
    <w:rsid w:val="00077608"/>
    <w:rsid w:val="00091466"/>
    <w:rsid w:val="000B169A"/>
    <w:rsid w:val="000B2F8C"/>
    <w:rsid w:val="000B6475"/>
    <w:rsid w:val="000B7137"/>
    <w:rsid w:val="000B747B"/>
    <w:rsid w:val="000B7958"/>
    <w:rsid w:val="000C4884"/>
    <w:rsid w:val="000D1003"/>
    <w:rsid w:val="000D27E5"/>
    <w:rsid w:val="000D6562"/>
    <w:rsid w:val="000E03AC"/>
    <w:rsid w:val="000E0E60"/>
    <w:rsid w:val="000E3515"/>
    <w:rsid w:val="000E5568"/>
    <w:rsid w:val="00106FD2"/>
    <w:rsid w:val="00110A49"/>
    <w:rsid w:val="00114A58"/>
    <w:rsid w:val="00121FC5"/>
    <w:rsid w:val="001247B2"/>
    <w:rsid w:val="00130A4B"/>
    <w:rsid w:val="0013321D"/>
    <w:rsid w:val="0014107F"/>
    <w:rsid w:val="0014582B"/>
    <w:rsid w:val="00163AE0"/>
    <w:rsid w:val="00165299"/>
    <w:rsid w:val="00166203"/>
    <w:rsid w:val="001666DA"/>
    <w:rsid w:val="0017105B"/>
    <w:rsid w:val="00174DE0"/>
    <w:rsid w:val="001833C0"/>
    <w:rsid w:val="00183CA1"/>
    <w:rsid w:val="00193226"/>
    <w:rsid w:val="001957A0"/>
    <w:rsid w:val="001A1C17"/>
    <w:rsid w:val="001A765E"/>
    <w:rsid w:val="001B20D5"/>
    <w:rsid w:val="001B3625"/>
    <w:rsid w:val="001B6607"/>
    <w:rsid w:val="001C7CCB"/>
    <w:rsid w:val="001D22AA"/>
    <w:rsid w:val="001D4671"/>
    <w:rsid w:val="001D53F3"/>
    <w:rsid w:val="001D553C"/>
    <w:rsid w:val="001D644A"/>
    <w:rsid w:val="001D6D5D"/>
    <w:rsid w:val="001D7DA6"/>
    <w:rsid w:val="001E3C61"/>
    <w:rsid w:val="001E44AA"/>
    <w:rsid w:val="001E6B8C"/>
    <w:rsid w:val="001E71DC"/>
    <w:rsid w:val="001E7C1C"/>
    <w:rsid w:val="001F0C23"/>
    <w:rsid w:val="001F387A"/>
    <w:rsid w:val="001F65D5"/>
    <w:rsid w:val="00202B12"/>
    <w:rsid w:val="00203A9B"/>
    <w:rsid w:val="002041BA"/>
    <w:rsid w:val="00205276"/>
    <w:rsid w:val="00210794"/>
    <w:rsid w:val="00210879"/>
    <w:rsid w:val="002160E6"/>
    <w:rsid w:val="002234B0"/>
    <w:rsid w:val="00230F7F"/>
    <w:rsid w:val="00233AAF"/>
    <w:rsid w:val="0023493B"/>
    <w:rsid w:val="002353CE"/>
    <w:rsid w:val="00246F79"/>
    <w:rsid w:val="00254B65"/>
    <w:rsid w:val="00254E21"/>
    <w:rsid w:val="00257802"/>
    <w:rsid w:val="00263DD2"/>
    <w:rsid w:val="00266968"/>
    <w:rsid w:val="00267A7A"/>
    <w:rsid w:val="00272597"/>
    <w:rsid w:val="0027382D"/>
    <w:rsid w:val="0029332F"/>
    <w:rsid w:val="002934C1"/>
    <w:rsid w:val="00296DD7"/>
    <w:rsid w:val="002973DF"/>
    <w:rsid w:val="002A173F"/>
    <w:rsid w:val="002A266C"/>
    <w:rsid w:val="002A314D"/>
    <w:rsid w:val="002A443C"/>
    <w:rsid w:val="002A4A83"/>
    <w:rsid w:val="002A531E"/>
    <w:rsid w:val="002B02C9"/>
    <w:rsid w:val="002B4E98"/>
    <w:rsid w:val="002C0C42"/>
    <w:rsid w:val="002C1574"/>
    <w:rsid w:val="002C4A9A"/>
    <w:rsid w:val="002E0209"/>
    <w:rsid w:val="002E0AC0"/>
    <w:rsid w:val="002E1F23"/>
    <w:rsid w:val="002E65AD"/>
    <w:rsid w:val="002E7413"/>
    <w:rsid w:val="002F36C6"/>
    <w:rsid w:val="00302F0F"/>
    <w:rsid w:val="00310BC6"/>
    <w:rsid w:val="00312F53"/>
    <w:rsid w:val="00314942"/>
    <w:rsid w:val="003154A0"/>
    <w:rsid w:val="003166C4"/>
    <w:rsid w:val="00316A17"/>
    <w:rsid w:val="00322C45"/>
    <w:rsid w:val="00324F05"/>
    <w:rsid w:val="00326112"/>
    <w:rsid w:val="0033069D"/>
    <w:rsid w:val="00331264"/>
    <w:rsid w:val="003331D5"/>
    <w:rsid w:val="00337875"/>
    <w:rsid w:val="00341F2C"/>
    <w:rsid w:val="00350163"/>
    <w:rsid w:val="00357056"/>
    <w:rsid w:val="0035730D"/>
    <w:rsid w:val="00363DC3"/>
    <w:rsid w:val="003661CE"/>
    <w:rsid w:val="00366224"/>
    <w:rsid w:val="00391B4B"/>
    <w:rsid w:val="00391E6B"/>
    <w:rsid w:val="00394262"/>
    <w:rsid w:val="00394BA1"/>
    <w:rsid w:val="0039580E"/>
    <w:rsid w:val="003A0CC0"/>
    <w:rsid w:val="003A1F37"/>
    <w:rsid w:val="003A24E2"/>
    <w:rsid w:val="003A2D78"/>
    <w:rsid w:val="003A78BC"/>
    <w:rsid w:val="003B313D"/>
    <w:rsid w:val="003B3BA2"/>
    <w:rsid w:val="003B76F2"/>
    <w:rsid w:val="003C05DA"/>
    <w:rsid w:val="003C6642"/>
    <w:rsid w:val="003D142E"/>
    <w:rsid w:val="003D33DF"/>
    <w:rsid w:val="003D6744"/>
    <w:rsid w:val="003D70DD"/>
    <w:rsid w:val="003D729D"/>
    <w:rsid w:val="003E057D"/>
    <w:rsid w:val="003E0E6C"/>
    <w:rsid w:val="003E52CA"/>
    <w:rsid w:val="003F0D60"/>
    <w:rsid w:val="003F3BE6"/>
    <w:rsid w:val="003F5BEC"/>
    <w:rsid w:val="003F6EE2"/>
    <w:rsid w:val="0040020D"/>
    <w:rsid w:val="00402849"/>
    <w:rsid w:val="004034D5"/>
    <w:rsid w:val="004040A1"/>
    <w:rsid w:val="004132C3"/>
    <w:rsid w:val="00414513"/>
    <w:rsid w:val="00426541"/>
    <w:rsid w:val="004317DB"/>
    <w:rsid w:val="00437322"/>
    <w:rsid w:val="00440276"/>
    <w:rsid w:val="00452802"/>
    <w:rsid w:val="00457C37"/>
    <w:rsid w:val="004610BA"/>
    <w:rsid w:val="00463953"/>
    <w:rsid w:val="00465C91"/>
    <w:rsid w:val="00466ACC"/>
    <w:rsid w:val="00473A79"/>
    <w:rsid w:val="00476399"/>
    <w:rsid w:val="00476451"/>
    <w:rsid w:val="004779C8"/>
    <w:rsid w:val="00477F71"/>
    <w:rsid w:val="00484CE1"/>
    <w:rsid w:val="00486B84"/>
    <w:rsid w:val="004902CF"/>
    <w:rsid w:val="0049341F"/>
    <w:rsid w:val="00497211"/>
    <w:rsid w:val="004A04E8"/>
    <w:rsid w:val="004A5979"/>
    <w:rsid w:val="004A73D8"/>
    <w:rsid w:val="004A7991"/>
    <w:rsid w:val="004B1189"/>
    <w:rsid w:val="004B32F2"/>
    <w:rsid w:val="004B3F54"/>
    <w:rsid w:val="004B6920"/>
    <w:rsid w:val="004B7606"/>
    <w:rsid w:val="004B7F4D"/>
    <w:rsid w:val="004C1545"/>
    <w:rsid w:val="004C54CF"/>
    <w:rsid w:val="004C7CFC"/>
    <w:rsid w:val="004D23CA"/>
    <w:rsid w:val="004D4870"/>
    <w:rsid w:val="004D7983"/>
    <w:rsid w:val="004E3C0B"/>
    <w:rsid w:val="004E4B07"/>
    <w:rsid w:val="004E5244"/>
    <w:rsid w:val="004F598E"/>
    <w:rsid w:val="005028B8"/>
    <w:rsid w:val="005108DB"/>
    <w:rsid w:val="00513127"/>
    <w:rsid w:val="00513312"/>
    <w:rsid w:val="00524033"/>
    <w:rsid w:val="0053048B"/>
    <w:rsid w:val="005506FD"/>
    <w:rsid w:val="005517B0"/>
    <w:rsid w:val="005550A3"/>
    <w:rsid w:val="00560AED"/>
    <w:rsid w:val="00562F62"/>
    <w:rsid w:val="00564036"/>
    <w:rsid w:val="00565EBE"/>
    <w:rsid w:val="00571D2F"/>
    <w:rsid w:val="0057541B"/>
    <w:rsid w:val="00575CC6"/>
    <w:rsid w:val="00577535"/>
    <w:rsid w:val="005818E1"/>
    <w:rsid w:val="00583075"/>
    <w:rsid w:val="00584199"/>
    <w:rsid w:val="005855D7"/>
    <w:rsid w:val="00591FCC"/>
    <w:rsid w:val="00593B15"/>
    <w:rsid w:val="005A10BA"/>
    <w:rsid w:val="005A3451"/>
    <w:rsid w:val="005A5B21"/>
    <w:rsid w:val="005B075F"/>
    <w:rsid w:val="005B131C"/>
    <w:rsid w:val="005B4202"/>
    <w:rsid w:val="005B48C0"/>
    <w:rsid w:val="005B5E9A"/>
    <w:rsid w:val="005C0EF0"/>
    <w:rsid w:val="005C21AE"/>
    <w:rsid w:val="005C4B23"/>
    <w:rsid w:val="005E077E"/>
    <w:rsid w:val="005E2F20"/>
    <w:rsid w:val="005E4DE1"/>
    <w:rsid w:val="00602510"/>
    <w:rsid w:val="006105BB"/>
    <w:rsid w:val="006141EA"/>
    <w:rsid w:val="0061695D"/>
    <w:rsid w:val="006261D1"/>
    <w:rsid w:val="00631DAF"/>
    <w:rsid w:val="006345B4"/>
    <w:rsid w:val="0063792A"/>
    <w:rsid w:val="00647242"/>
    <w:rsid w:val="0065281D"/>
    <w:rsid w:val="00656E38"/>
    <w:rsid w:val="00656F0F"/>
    <w:rsid w:val="006573C3"/>
    <w:rsid w:val="00660937"/>
    <w:rsid w:val="00664C76"/>
    <w:rsid w:val="00664ED3"/>
    <w:rsid w:val="00671D2F"/>
    <w:rsid w:val="006748EE"/>
    <w:rsid w:val="00676167"/>
    <w:rsid w:val="00681265"/>
    <w:rsid w:val="006844C9"/>
    <w:rsid w:val="0068528B"/>
    <w:rsid w:val="0068659C"/>
    <w:rsid w:val="00686805"/>
    <w:rsid w:val="006906DE"/>
    <w:rsid w:val="00693A32"/>
    <w:rsid w:val="00696672"/>
    <w:rsid w:val="006A3FDB"/>
    <w:rsid w:val="006A6800"/>
    <w:rsid w:val="006B6E38"/>
    <w:rsid w:val="006C1A50"/>
    <w:rsid w:val="006C7667"/>
    <w:rsid w:val="006C791C"/>
    <w:rsid w:val="006D1807"/>
    <w:rsid w:val="006D26A0"/>
    <w:rsid w:val="006D594B"/>
    <w:rsid w:val="006E10FD"/>
    <w:rsid w:val="006E22BF"/>
    <w:rsid w:val="006E4F9D"/>
    <w:rsid w:val="006E5127"/>
    <w:rsid w:val="0070109D"/>
    <w:rsid w:val="00701261"/>
    <w:rsid w:val="00701566"/>
    <w:rsid w:val="00702F04"/>
    <w:rsid w:val="00703E97"/>
    <w:rsid w:val="007052FD"/>
    <w:rsid w:val="0070577C"/>
    <w:rsid w:val="007113E8"/>
    <w:rsid w:val="0071388E"/>
    <w:rsid w:val="00715055"/>
    <w:rsid w:val="00716835"/>
    <w:rsid w:val="00716EDD"/>
    <w:rsid w:val="00721277"/>
    <w:rsid w:val="00726FCB"/>
    <w:rsid w:val="00730C5B"/>
    <w:rsid w:val="007330C9"/>
    <w:rsid w:val="0073347F"/>
    <w:rsid w:val="00734274"/>
    <w:rsid w:val="00736951"/>
    <w:rsid w:val="00736E41"/>
    <w:rsid w:val="00740B39"/>
    <w:rsid w:val="007421B2"/>
    <w:rsid w:val="0074396A"/>
    <w:rsid w:val="007451F2"/>
    <w:rsid w:val="00754371"/>
    <w:rsid w:val="00755D9C"/>
    <w:rsid w:val="007565E2"/>
    <w:rsid w:val="00760877"/>
    <w:rsid w:val="00760F65"/>
    <w:rsid w:val="00763326"/>
    <w:rsid w:val="00763D23"/>
    <w:rsid w:val="0076514F"/>
    <w:rsid w:val="0076668A"/>
    <w:rsid w:val="007723A2"/>
    <w:rsid w:val="0078208B"/>
    <w:rsid w:val="0079115A"/>
    <w:rsid w:val="007913D1"/>
    <w:rsid w:val="0079176E"/>
    <w:rsid w:val="007925F0"/>
    <w:rsid w:val="00795283"/>
    <w:rsid w:val="007A0450"/>
    <w:rsid w:val="007A335D"/>
    <w:rsid w:val="007A4354"/>
    <w:rsid w:val="007A4CED"/>
    <w:rsid w:val="007A61BC"/>
    <w:rsid w:val="007B1A78"/>
    <w:rsid w:val="007B6EC4"/>
    <w:rsid w:val="007C4022"/>
    <w:rsid w:val="007C59BE"/>
    <w:rsid w:val="007C65B4"/>
    <w:rsid w:val="007D0C56"/>
    <w:rsid w:val="007D5D76"/>
    <w:rsid w:val="007D7009"/>
    <w:rsid w:val="007D74BB"/>
    <w:rsid w:val="007E7DD8"/>
    <w:rsid w:val="007F6BE6"/>
    <w:rsid w:val="007F7EAA"/>
    <w:rsid w:val="008036E8"/>
    <w:rsid w:val="00804EF2"/>
    <w:rsid w:val="00810F5C"/>
    <w:rsid w:val="0081118C"/>
    <w:rsid w:val="00812200"/>
    <w:rsid w:val="0081374C"/>
    <w:rsid w:val="00813894"/>
    <w:rsid w:val="0081400F"/>
    <w:rsid w:val="00816F10"/>
    <w:rsid w:val="008172E5"/>
    <w:rsid w:val="00832A1C"/>
    <w:rsid w:val="00840889"/>
    <w:rsid w:val="00841491"/>
    <w:rsid w:val="0084438F"/>
    <w:rsid w:val="0084493D"/>
    <w:rsid w:val="008558A4"/>
    <w:rsid w:val="008579D2"/>
    <w:rsid w:val="0086422F"/>
    <w:rsid w:val="008644CC"/>
    <w:rsid w:val="008710E4"/>
    <w:rsid w:val="008912A0"/>
    <w:rsid w:val="00891D50"/>
    <w:rsid w:val="0089323D"/>
    <w:rsid w:val="00893D41"/>
    <w:rsid w:val="00894323"/>
    <w:rsid w:val="00894D7A"/>
    <w:rsid w:val="00894FB0"/>
    <w:rsid w:val="0089657E"/>
    <w:rsid w:val="008970F3"/>
    <w:rsid w:val="008A06FD"/>
    <w:rsid w:val="008A42FB"/>
    <w:rsid w:val="008A635A"/>
    <w:rsid w:val="008A6CB5"/>
    <w:rsid w:val="008B1956"/>
    <w:rsid w:val="008B334A"/>
    <w:rsid w:val="008B40C9"/>
    <w:rsid w:val="008B4510"/>
    <w:rsid w:val="008C3DED"/>
    <w:rsid w:val="008C672C"/>
    <w:rsid w:val="008C6CD1"/>
    <w:rsid w:val="008D3E06"/>
    <w:rsid w:val="008D560A"/>
    <w:rsid w:val="008E0DF8"/>
    <w:rsid w:val="008E6033"/>
    <w:rsid w:val="008F2790"/>
    <w:rsid w:val="008F6C08"/>
    <w:rsid w:val="00906E88"/>
    <w:rsid w:val="00907026"/>
    <w:rsid w:val="00912A9B"/>
    <w:rsid w:val="00917134"/>
    <w:rsid w:val="00934FC9"/>
    <w:rsid w:val="00942E29"/>
    <w:rsid w:val="00943239"/>
    <w:rsid w:val="00945732"/>
    <w:rsid w:val="00946FC4"/>
    <w:rsid w:val="0095505E"/>
    <w:rsid w:val="00960137"/>
    <w:rsid w:val="00966923"/>
    <w:rsid w:val="009676C8"/>
    <w:rsid w:val="00970632"/>
    <w:rsid w:val="009714C4"/>
    <w:rsid w:val="00971ED3"/>
    <w:rsid w:val="009733D4"/>
    <w:rsid w:val="00973754"/>
    <w:rsid w:val="00975BE9"/>
    <w:rsid w:val="009801AA"/>
    <w:rsid w:val="0098573B"/>
    <w:rsid w:val="00987282"/>
    <w:rsid w:val="0098765D"/>
    <w:rsid w:val="00987E94"/>
    <w:rsid w:val="00992B52"/>
    <w:rsid w:val="00994976"/>
    <w:rsid w:val="00997EDA"/>
    <w:rsid w:val="009B6CDD"/>
    <w:rsid w:val="009C46BB"/>
    <w:rsid w:val="009C7612"/>
    <w:rsid w:val="009D291B"/>
    <w:rsid w:val="009D3351"/>
    <w:rsid w:val="009D39D3"/>
    <w:rsid w:val="009D419F"/>
    <w:rsid w:val="009E09B0"/>
    <w:rsid w:val="009E1023"/>
    <w:rsid w:val="009E1EDC"/>
    <w:rsid w:val="009F23AC"/>
    <w:rsid w:val="009F2867"/>
    <w:rsid w:val="009F679B"/>
    <w:rsid w:val="00A00111"/>
    <w:rsid w:val="00A017E4"/>
    <w:rsid w:val="00A02E0C"/>
    <w:rsid w:val="00A036A8"/>
    <w:rsid w:val="00A042F9"/>
    <w:rsid w:val="00A17CA7"/>
    <w:rsid w:val="00A24E88"/>
    <w:rsid w:val="00A25F78"/>
    <w:rsid w:val="00A31807"/>
    <w:rsid w:val="00A36FE5"/>
    <w:rsid w:val="00A409F5"/>
    <w:rsid w:val="00A40FC2"/>
    <w:rsid w:val="00A54B6B"/>
    <w:rsid w:val="00A54E95"/>
    <w:rsid w:val="00A60F72"/>
    <w:rsid w:val="00A62BD9"/>
    <w:rsid w:val="00A6641C"/>
    <w:rsid w:val="00A7010F"/>
    <w:rsid w:val="00A71C97"/>
    <w:rsid w:val="00A71FFB"/>
    <w:rsid w:val="00A73ACE"/>
    <w:rsid w:val="00A746B8"/>
    <w:rsid w:val="00A871D3"/>
    <w:rsid w:val="00A93326"/>
    <w:rsid w:val="00A94CB2"/>
    <w:rsid w:val="00AA73B3"/>
    <w:rsid w:val="00AB0A73"/>
    <w:rsid w:val="00AB39EE"/>
    <w:rsid w:val="00AB4E29"/>
    <w:rsid w:val="00AB52D1"/>
    <w:rsid w:val="00AC2D4F"/>
    <w:rsid w:val="00AC472A"/>
    <w:rsid w:val="00AC493E"/>
    <w:rsid w:val="00AD1D5E"/>
    <w:rsid w:val="00AD2E94"/>
    <w:rsid w:val="00AD5924"/>
    <w:rsid w:val="00AD76DB"/>
    <w:rsid w:val="00AE0E39"/>
    <w:rsid w:val="00AE2461"/>
    <w:rsid w:val="00AF0630"/>
    <w:rsid w:val="00AF2164"/>
    <w:rsid w:val="00AF374D"/>
    <w:rsid w:val="00AF3825"/>
    <w:rsid w:val="00AF39B9"/>
    <w:rsid w:val="00AF40B2"/>
    <w:rsid w:val="00B00D7D"/>
    <w:rsid w:val="00B03496"/>
    <w:rsid w:val="00B075E7"/>
    <w:rsid w:val="00B14D7B"/>
    <w:rsid w:val="00B15561"/>
    <w:rsid w:val="00B17369"/>
    <w:rsid w:val="00B24BD2"/>
    <w:rsid w:val="00B25516"/>
    <w:rsid w:val="00B30B9F"/>
    <w:rsid w:val="00B326D5"/>
    <w:rsid w:val="00B36398"/>
    <w:rsid w:val="00B42BD5"/>
    <w:rsid w:val="00B456FE"/>
    <w:rsid w:val="00B50AB8"/>
    <w:rsid w:val="00B52E3A"/>
    <w:rsid w:val="00B53B83"/>
    <w:rsid w:val="00B53F92"/>
    <w:rsid w:val="00B542FA"/>
    <w:rsid w:val="00B54DB5"/>
    <w:rsid w:val="00B67829"/>
    <w:rsid w:val="00B711BD"/>
    <w:rsid w:val="00B75ED7"/>
    <w:rsid w:val="00B9333F"/>
    <w:rsid w:val="00BA0D9B"/>
    <w:rsid w:val="00BA0E93"/>
    <w:rsid w:val="00BA4912"/>
    <w:rsid w:val="00BA6EA4"/>
    <w:rsid w:val="00BC6FBE"/>
    <w:rsid w:val="00BD2526"/>
    <w:rsid w:val="00BD51A8"/>
    <w:rsid w:val="00BD6224"/>
    <w:rsid w:val="00BE194A"/>
    <w:rsid w:val="00BE2866"/>
    <w:rsid w:val="00BE4BCA"/>
    <w:rsid w:val="00BE5A8B"/>
    <w:rsid w:val="00BE5ACE"/>
    <w:rsid w:val="00BF0688"/>
    <w:rsid w:val="00BF1742"/>
    <w:rsid w:val="00BF3358"/>
    <w:rsid w:val="00C00A9B"/>
    <w:rsid w:val="00C010D7"/>
    <w:rsid w:val="00C059D6"/>
    <w:rsid w:val="00C05CD5"/>
    <w:rsid w:val="00C05CF6"/>
    <w:rsid w:val="00C07075"/>
    <w:rsid w:val="00C07A10"/>
    <w:rsid w:val="00C13466"/>
    <w:rsid w:val="00C16995"/>
    <w:rsid w:val="00C16AC2"/>
    <w:rsid w:val="00C1725D"/>
    <w:rsid w:val="00C32487"/>
    <w:rsid w:val="00C42FA4"/>
    <w:rsid w:val="00C546C1"/>
    <w:rsid w:val="00C55C40"/>
    <w:rsid w:val="00C635F9"/>
    <w:rsid w:val="00C66F6E"/>
    <w:rsid w:val="00C7742A"/>
    <w:rsid w:val="00C810C6"/>
    <w:rsid w:val="00C850D2"/>
    <w:rsid w:val="00C85752"/>
    <w:rsid w:val="00C93843"/>
    <w:rsid w:val="00C96F9D"/>
    <w:rsid w:val="00C97D09"/>
    <w:rsid w:val="00CA7B2E"/>
    <w:rsid w:val="00CB062E"/>
    <w:rsid w:val="00CC109D"/>
    <w:rsid w:val="00CC38E6"/>
    <w:rsid w:val="00CC4022"/>
    <w:rsid w:val="00CD1A4C"/>
    <w:rsid w:val="00CD5021"/>
    <w:rsid w:val="00CE4A2E"/>
    <w:rsid w:val="00CF0BE3"/>
    <w:rsid w:val="00CF40C2"/>
    <w:rsid w:val="00CF5FA7"/>
    <w:rsid w:val="00CF65A3"/>
    <w:rsid w:val="00D031FD"/>
    <w:rsid w:val="00D07E2B"/>
    <w:rsid w:val="00D103FE"/>
    <w:rsid w:val="00D177FA"/>
    <w:rsid w:val="00D351A1"/>
    <w:rsid w:val="00D35F3C"/>
    <w:rsid w:val="00D424D9"/>
    <w:rsid w:val="00D47DF1"/>
    <w:rsid w:val="00D50240"/>
    <w:rsid w:val="00D522BE"/>
    <w:rsid w:val="00D60CB2"/>
    <w:rsid w:val="00D64A0B"/>
    <w:rsid w:val="00D666AC"/>
    <w:rsid w:val="00D67695"/>
    <w:rsid w:val="00D6779B"/>
    <w:rsid w:val="00D76D30"/>
    <w:rsid w:val="00D777B3"/>
    <w:rsid w:val="00D85A7A"/>
    <w:rsid w:val="00D92C1E"/>
    <w:rsid w:val="00D938CF"/>
    <w:rsid w:val="00DA0988"/>
    <w:rsid w:val="00DA1DA8"/>
    <w:rsid w:val="00DB0494"/>
    <w:rsid w:val="00DB2B35"/>
    <w:rsid w:val="00DB3397"/>
    <w:rsid w:val="00DB7C5A"/>
    <w:rsid w:val="00DC2BF2"/>
    <w:rsid w:val="00DC3CA1"/>
    <w:rsid w:val="00DC510F"/>
    <w:rsid w:val="00DC748C"/>
    <w:rsid w:val="00DD4318"/>
    <w:rsid w:val="00DD5106"/>
    <w:rsid w:val="00DE2DAD"/>
    <w:rsid w:val="00DE50F0"/>
    <w:rsid w:val="00DE60AD"/>
    <w:rsid w:val="00DF00F4"/>
    <w:rsid w:val="00DF1A36"/>
    <w:rsid w:val="00DF5E72"/>
    <w:rsid w:val="00E10D7A"/>
    <w:rsid w:val="00E16322"/>
    <w:rsid w:val="00E22230"/>
    <w:rsid w:val="00E253DA"/>
    <w:rsid w:val="00E2564E"/>
    <w:rsid w:val="00E3542D"/>
    <w:rsid w:val="00E4038F"/>
    <w:rsid w:val="00E424FC"/>
    <w:rsid w:val="00E42B7B"/>
    <w:rsid w:val="00E44DCC"/>
    <w:rsid w:val="00E45452"/>
    <w:rsid w:val="00E5594C"/>
    <w:rsid w:val="00E72850"/>
    <w:rsid w:val="00E76EEA"/>
    <w:rsid w:val="00E77F74"/>
    <w:rsid w:val="00E81064"/>
    <w:rsid w:val="00E8344B"/>
    <w:rsid w:val="00E875AB"/>
    <w:rsid w:val="00E9591A"/>
    <w:rsid w:val="00E96FF2"/>
    <w:rsid w:val="00EA0363"/>
    <w:rsid w:val="00EA07A1"/>
    <w:rsid w:val="00EA2463"/>
    <w:rsid w:val="00EA7C44"/>
    <w:rsid w:val="00EB199A"/>
    <w:rsid w:val="00EB3ED5"/>
    <w:rsid w:val="00EB43CF"/>
    <w:rsid w:val="00EB5054"/>
    <w:rsid w:val="00EB5DB1"/>
    <w:rsid w:val="00EC00DC"/>
    <w:rsid w:val="00EC0356"/>
    <w:rsid w:val="00EC0F37"/>
    <w:rsid w:val="00EC1036"/>
    <w:rsid w:val="00EC629A"/>
    <w:rsid w:val="00ED04D6"/>
    <w:rsid w:val="00ED20C9"/>
    <w:rsid w:val="00ED3BA9"/>
    <w:rsid w:val="00ED4605"/>
    <w:rsid w:val="00EE1051"/>
    <w:rsid w:val="00EE30E7"/>
    <w:rsid w:val="00EE3698"/>
    <w:rsid w:val="00EE382C"/>
    <w:rsid w:val="00EF4D6E"/>
    <w:rsid w:val="00F02C6B"/>
    <w:rsid w:val="00F04C5B"/>
    <w:rsid w:val="00F12BCC"/>
    <w:rsid w:val="00F13913"/>
    <w:rsid w:val="00F151DC"/>
    <w:rsid w:val="00F21E86"/>
    <w:rsid w:val="00F27F5A"/>
    <w:rsid w:val="00F31719"/>
    <w:rsid w:val="00F347B9"/>
    <w:rsid w:val="00F377AC"/>
    <w:rsid w:val="00F5288C"/>
    <w:rsid w:val="00F53E06"/>
    <w:rsid w:val="00F54BCC"/>
    <w:rsid w:val="00F64922"/>
    <w:rsid w:val="00F7510C"/>
    <w:rsid w:val="00F84381"/>
    <w:rsid w:val="00F9217F"/>
    <w:rsid w:val="00F948FB"/>
    <w:rsid w:val="00F9710D"/>
    <w:rsid w:val="00FA0A5C"/>
    <w:rsid w:val="00FA2944"/>
    <w:rsid w:val="00FB3D1A"/>
    <w:rsid w:val="00FC090D"/>
    <w:rsid w:val="00FC1490"/>
    <w:rsid w:val="00FC4D03"/>
    <w:rsid w:val="00FC52B0"/>
    <w:rsid w:val="00FD22F2"/>
    <w:rsid w:val="00FD53B6"/>
    <w:rsid w:val="00FD604E"/>
    <w:rsid w:val="00FD6912"/>
    <w:rsid w:val="00FE0881"/>
    <w:rsid w:val="00FE229A"/>
    <w:rsid w:val="00FE6B5D"/>
    <w:rsid w:val="00FE7E10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1B5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76D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rsid w:val="004C54CF"/>
    <w:pPr>
      <w:keepNext/>
      <w:keepLines/>
      <w:spacing w:before="480" w:after="0" w:line="240" w:lineRule="auto"/>
      <w:outlineLvl w:val="0"/>
    </w:pPr>
    <w:rPr>
      <w:rFonts w:ascii="Arial" w:eastAsia="Calibri" w:hAnsi="Arial"/>
      <w:b/>
      <w:bCs/>
      <w:sz w:val="24"/>
      <w:szCs w:val="28"/>
    </w:rPr>
  </w:style>
  <w:style w:type="paragraph" w:styleId="2">
    <w:name w:val="heading 2"/>
    <w:basedOn w:val="a0"/>
    <w:next w:val="a0"/>
    <w:link w:val="20"/>
    <w:qFormat/>
    <w:rsid w:val="006E22BF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B52E3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42F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link w:val="1"/>
    <w:locked/>
    <w:rsid w:val="004C54CF"/>
    <w:rPr>
      <w:rFonts w:ascii="Arial" w:hAnsi="Arial" w:cs="Times New Roman"/>
      <w:b/>
      <w:bCs/>
      <w:sz w:val="28"/>
      <w:szCs w:val="28"/>
    </w:rPr>
  </w:style>
  <w:style w:type="paragraph" w:customStyle="1" w:styleId="11">
    <w:name w:val="Абзац списка1"/>
    <w:basedOn w:val="a0"/>
    <w:link w:val="ListParagraphChar"/>
    <w:rsid w:val="00A62BD9"/>
    <w:pPr>
      <w:ind w:left="720"/>
      <w:contextualSpacing/>
    </w:pPr>
  </w:style>
  <w:style w:type="paragraph" w:styleId="a4">
    <w:name w:val="Balloon Text"/>
    <w:basedOn w:val="a0"/>
    <w:link w:val="a5"/>
    <w:semiHidden/>
    <w:rsid w:val="0039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91B4B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rsid w:val="0002598D"/>
    <w:pPr>
      <w:spacing w:after="0" w:line="360" w:lineRule="auto"/>
      <w:ind w:left="-360"/>
      <w:jc w:val="both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link w:val="a6"/>
    <w:locked/>
    <w:rsid w:val="0002598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0"/>
    <w:link w:val="a9"/>
    <w:rsid w:val="00E403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E4038F"/>
    <w:rPr>
      <w:rFonts w:cs="Times New Roman"/>
      <w:sz w:val="20"/>
      <w:szCs w:val="20"/>
    </w:rPr>
  </w:style>
  <w:style w:type="character" w:styleId="aa">
    <w:name w:val="footnote reference"/>
    <w:rsid w:val="00E4038F"/>
    <w:rPr>
      <w:rFonts w:cs="Times New Roman"/>
      <w:vertAlign w:val="superscript"/>
    </w:rPr>
  </w:style>
  <w:style w:type="character" w:styleId="ab">
    <w:name w:val="Hyperlink"/>
    <w:semiHidden/>
    <w:rsid w:val="008B4510"/>
    <w:rPr>
      <w:rFonts w:cs="Times New Roman"/>
      <w:color w:val="0000FF"/>
      <w:u w:val="single"/>
    </w:rPr>
  </w:style>
  <w:style w:type="paragraph" w:styleId="ac">
    <w:name w:val="header"/>
    <w:basedOn w:val="a0"/>
    <w:link w:val="ad"/>
    <w:rsid w:val="006A68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6A6800"/>
    <w:rPr>
      <w:rFonts w:cs="Times New Roman"/>
    </w:rPr>
  </w:style>
  <w:style w:type="paragraph" w:styleId="ae">
    <w:name w:val="footer"/>
    <w:basedOn w:val="a0"/>
    <w:link w:val="af"/>
    <w:uiPriority w:val="99"/>
    <w:rsid w:val="006A68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6A6800"/>
    <w:rPr>
      <w:rFonts w:cs="Times New Roman"/>
    </w:rPr>
  </w:style>
  <w:style w:type="paragraph" w:customStyle="1" w:styleId="12">
    <w:name w:val="Без интервала1"/>
    <w:link w:val="NoSpacingChar"/>
    <w:rsid w:val="007A4354"/>
    <w:rPr>
      <w:sz w:val="22"/>
      <w:szCs w:val="22"/>
      <w:lang w:val="en-US" w:eastAsia="ja-JP"/>
    </w:rPr>
  </w:style>
  <w:style w:type="character" w:customStyle="1" w:styleId="NoSpacingChar">
    <w:name w:val="No Spacing Char"/>
    <w:link w:val="12"/>
    <w:locked/>
    <w:rsid w:val="007A4354"/>
    <w:rPr>
      <w:rFonts w:eastAsia="Times New Roman" w:cs="Times New Roman"/>
      <w:sz w:val="22"/>
      <w:szCs w:val="22"/>
      <w:lang w:val="en-US" w:eastAsia="ja-JP" w:bidi="ar-SA"/>
    </w:rPr>
  </w:style>
  <w:style w:type="character" w:styleId="af0">
    <w:name w:val="Emphasis"/>
    <w:qFormat/>
    <w:rsid w:val="00266968"/>
    <w:rPr>
      <w:rFonts w:cs="Times New Roman"/>
      <w:i/>
      <w:iCs/>
    </w:rPr>
  </w:style>
  <w:style w:type="paragraph" w:styleId="af1">
    <w:name w:val="caption"/>
    <w:basedOn w:val="a0"/>
    <w:next w:val="a0"/>
    <w:qFormat/>
    <w:rsid w:val="00ED04D6"/>
    <w:pPr>
      <w:spacing w:after="0" w:line="240" w:lineRule="auto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character" w:customStyle="1" w:styleId="ListParagraphChar">
    <w:name w:val="List Paragraph Char"/>
    <w:link w:val="11"/>
    <w:locked/>
    <w:rsid w:val="006E22BF"/>
  </w:style>
  <w:style w:type="character" w:customStyle="1" w:styleId="20">
    <w:name w:val="Заголовок 2 Знак"/>
    <w:link w:val="2"/>
    <w:semiHidden/>
    <w:locked/>
    <w:rsid w:val="006E22BF"/>
    <w:rPr>
      <w:rFonts w:ascii="Cambria" w:hAnsi="Cambria" w:cs="Times New Roman"/>
      <w:b/>
      <w:bCs/>
      <w:color w:val="4F81BD"/>
      <w:sz w:val="26"/>
      <w:szCs w:val="26"/>
    </w:rPr>
  </w:style>
  <w:style w:type="paragraph" w:styleId="af2">
    <w:name w:val="Normal (Web)"/>
    <w:basedOn w:val="a0"/>
    <w:uiPriority w:val="99"/>
    <w:rsid w:val="00A73AC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B52E3A"/>
    <w:rPr>
      <w:rFonts w:ascii="Cambria" w:hAnsi="Cambria" w:cs="Times New Roman"/>
      <w:b/>
      <w:bCs/>
      <w:color w:val="4F81BD"/>
    </w:rPr>
  </w:style>
  <w:style w:type="character" w:customStyle="1" w:styleId="mw-headline">
    <w:name w:val="mw-headline"/>
    <w:rsid w:val="00B52E3A"/>
    <w:rPr>
      <w:rFonts w:cs="Times New Roman"/>
    </w:rPr>
  </w:style>
  <w:style w:type="paragraph" w:styleId="af3">
    <w:name w:val="Body Text"/>
    <w:basedOn w:val="a0"/>
    <w:link w:val="af4"/>
    <w:semiHidden/>
    <w:rsid w:val="004E4B07"/>
    <w:pPr>
      <w:spacing w:after="120"/>
    </w:pPr>
  </w:style>
  <w:style w:type="character" w:customStyle="1" w:styleId="af4">
    <w:name w:val="Основной текст Знак"/>
    <w:link w:val="af3"/>
    <w:semiHidden/>
    <w:locked/>
    <w:rsid w:val="004E4B07"/>
    <w:rPr>
      <w:rFonts w:cs="Times New Roman"/>
    </w:rPr>
  </w:style>
  <w:style w:type="paragraph" w:customStyle="1" w:styleId="ConsPlusNormal">
    <w:name w:val="ConsPlusNormal"/>
    <w:basedOn w:val="a0"/>
    <w:rsid w:val="003B3BA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s04">
    <w:name w:val="s04 подПункт"/>
    <w:basedOn w:val="a0"/>
    <w:rsid w:val="000D27E5"/>
    <w:pPr>
      <w:keepNext/>
      <w:widowControl w:val="0"/>
      <w:numPr>
        <w:ilvl w:val="3"/>
        <w:numId w:val="1"/>
      </w:numPr>
      <w:tabs>
        <w:tab w:val="left" w:pos="1134"/>
        <w:tab w:val="left" w:pos="1276"/>
      </w:tabs>
      <w:overflowPunct w:val="0"/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Calibri" w:hAnsi="Arial"/>
      <w:bCs/>
      <w:szCs w:val="28"/>
      <w:lang w:val="ru-RU" w:eastAsia="ru-RU"/>
    </w:rPr>
  </w:style>
  <w:style w:type="paragraph" w:customStyle="1" w:styleId="s12101">
    <w:name w:val="s12 Т  Кол1 Ном01 Жирн"/>
    <w:basedOn w:val="a0"/>
    <w:next w:val="a0"/>
    <w:rsid w:val="000D27E5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20" w:after="0" w:line="240" w:lineRule="auto"/>
      <w:ind w:firstLine="340"/>
      <w:outlineLvl w:val="6"/>
    </w:pPr>
    <w:rPr>
      <w:rFonts w:ascii="Arial" w:hAnsi="Arial" w:cs="Arial"/>
      <w:b/>
      <w:sz w:val="20"/>
      <w:szCs w:val="24"/>
    </w:rPr>
  </w:style>
  <w:style w:type="paragraph" w:customStyle="1" w:styleId="s1601">
    <w:name w:val="s16 Т Ном01. Отст"/>
    <w:basedOn w:val="a0"/>
    <w:rsid w:val="000D27E5"/>
    <w:pPr>
      <w:keepNext/>
      <w:numPr>
        <w:ilvl w:val="7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outlineLvl w:val="8"/>
    </w:pPr>
    <w:rPr>
      <w:rFonts w:ascii="Arial" w:eastAsia="Calibri" w:hAnsi="Arial"/>
      <w:bCs/>
      <w:sz w:val="20"/>
      <w:szCs w:val="28"/>
      <w:lang w:val="ru-RU" w:eastAsia="ru-RU"/>
    </w:rPr>
  </w:style>
  <w:style w:type="paragraph" w:customStyle="1" w:styleId="s091">
    <w:name w:val="s09 Список а1)"/>
    <w:basedOn w:val="a0"/>
    <w:rsid w:val="000D27E5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Arial" w:hAnsi="Arial" w:cs="Arial"/>
      <w:szCs w:val="24"/>
    </w:rPr>
  </w:style>
  <w:style w:type="paragraph" w:customStyle="1" w:styleId="s170101">
    <w:name w:val="s17 Т Ном01.01"/>
    <w:basedOn w:val="s1601"/>
    <w:rsid w:val="000D27E5"/>
    <w:pPr>
      <w:numPr>
        <w:ilvl w:val="8"/>
      </w:numPr>
    </w:pPr>
  </w:style>
  <w:style w:type="paragraph" w:styleId="a">
    <w:name w:val="List"/>
    <w:basedOn w:val="a0"/>
    <w:rsid w:val="00E22230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No Spacing"/>
    <w:aliases w:val="Стиль Илюшки!"/>
    <w:uiPriority w:val="1"/>
    <w:qFormat/>
    <w:rsid w:val="007451F2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af6">
    <w:name w:val="List Paragraph"/>
    <w:basedOn w:val="a0"/>
    <w:uiPriority w:val="34"/>
    <w:qFormat/>
    <w:rsid w:val="00EE369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western">
    <w:name w:val="western"/>
    <w:basedOn w:val="a0"/>
    <w:rsid w:val="00AB4E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f7">
    <w:name w:val="Table Grid"/>
    <w:basedOn w:val="a2"/>
    <w:locked/>
    <w:rsid w:val="003B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1"/>
    <w:rsid w:val="00326112"/>
  </w:style>
  <w:style w:type="table" w:customStyle="1" w:styleId="13">
    <w:name w:val="Сетка таблицы1"/>
    <w:basedOn w:val="a2"/>
    <w:next w:val="af7"/>
    <w:uiPriority w:val="39"/>
    <w:rsid w:val="004A7991"/>
    <w:rPr>
      <w:rFonts w:ascii="Georgia" w:eastAsiaTheme="minorHAnsi" w:hAnsi="Georgia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76D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rsid w:val="004C54CF"/>
    <w:pPr>
      <w:keepNext/>
      <w:keepLines/>
      <w:spacing w:before="480" w:after="0" w:line="240" w:lineRule="auto"/>
      <w:outlineLvl w:val="0"/>
    </w:pPr>
    <w:rPr>
      <w:rFonts w:ascii="Arial" w:eastAsia="Calibri" w:hAnsi="Arial"/>
      <w:b/>
      <w:bCs/>
      <w:sz w:val="24"/>
      <w:szCs w:val="28"/>
    </w:rPr>
  </w:style>
  <w:style w:type="paragraph" w:styleId="2">
    <w:name w:val="heading 2"/>
    <w:basedOn w:val="a0"/>
    <w:next w:val="a0"/>
    <w:link w:val="20"/>
    <w:qFormat/>
    <w:rsid w:val="006E22BF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B52E3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42F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10">
    <w:name w:val="Заголовок 1 Знак"/>
    <w:link w:val="1"/>
    <w:locked/>
    <w:rsid w:val="004C54CF"/>
    <w:rPr>
      <w:rFonts w:ascii="Arial" w:hAnsi="Arial" w:cs="Times New Roman"/>
      <w:b/>
      <w:bCs/>
      <w:sz w:val="28"/>
      <w:szCs w:val="28"/>
    </w:rPr>
  </w:style>
  <w:style w:type="paragraph" w:customStyle="1" w:styleId="11">
    <w:name w:val="Абзац списка1"/>
    <w:basedOn w:val="a0"/>
    <w:link w:val="ListParagraphChar"/>
    <w:rsid w:val="00A62BD9"/>
    <w:pPr>
      <w:ind w:left="720"/>
      <w:contextualSpacing/>
    </w:pPr>
  </w:style>
  <w:style w:type="paragraph" w:styleId="a4">
    <w:name w:val="Balloon Text"/>
    <w:basedOn w:val="a0"/>
    <w:link w:val="a5"/>
    <w:semiHidden/>
    <w:rsid w:val="0039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91B4B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rsid w:val="0002598D"/>
    <w:pPr>
      <w:spacing w:after="0" w:line="360" w:lineRule="auto"/>
      <w:ind w:left="-360"/>
      <w:jc w:val="both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link w:val="a6"/>
    <w:locked/>
    <w:rsid w:val="0002598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0"/>
    <w:link w:val="a9"/>
    <w:rsid w:val="00E403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E4038F"/>
    <w:rPr>
      <w:rFonts w:cs="Times New Roman"/>
      <w:sz w:val="20"/>
      <w:szCs w:val="20"/>
    </w:rPr>
  </w:style>
  <w:style w:type="character" w:styleId="aa">
    <w:name w:val="footnote reference"/>
    <w:rsid w:val="00E4038F"/>
    <w:rPr>
      <w:rFonts w:cs="Times New Roman"/>
      <w:vertAlign w:val="superscript"/>
    </w:rPr>
  </w:style>
  <w:style w:type="character" w:styleId="ab">
    <w:name w:val="Hyperlink"/>
    <w:semiHidden/>
    <w:rsid w:val="008B4510"/>
    <w:rPr>
      <w:rFonts w:cs="Times New Roman"/>
      <w:color w:val="0000FF"/>
      <w:u w:val="single"/>
    </w:rPr>
  </w:style>
  <w:style w:type="paragraph" w:styleId="ac">
    <w:name w:val="header"/>
    <w:basedOn w:val="a0"/>
    <w:link w:val="ad"/>
    <w:rsid w:val="006A68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6A6800"/>
    <w:rPr>
      <w:rFonts w:cs="Times New Roman"/>
    </w:rPr>
  </w:style>
  <w:style w:type="paragraph" w:styleId="ae">
    <w:name w:val="footer"/>
    <w:basedOn w:val="a0"/>
    <w:link w:val="af"/>
    <w:uiPriority w:val="99"/>
    <w:rsid w:val="006A68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6A6800"/>
    <w:rPr>
      <w:rFonts w:cs="Times New Roman"/>
    </w:rPr>
  </w:style>
  <w:style w:type="paragraph" w:customStyle="1" w:styleId="12">
    <w:name w:val="Без интервала1"/>
    <w:link w:val="NoSpacingChar"/>
    <w:rsid w:val="007A4354"/>
    <w:rPr>
      <w:sz w:val="22"/>
      <w:szCs w:val="22"/>
      <w:lang w:val="en-US" w:eastAsia="ja-JP"/>
    </w:rPr>
  </w:style>
  <w:style w:type="character" w:customStyle="1" w:styleId="NoSpacingChar">
    <w:name w:val="No Spacing Char"/>
    <w:link w:val="12"/>
    <w:locked/>
    <w:rsid w:val="007A4354"/>
    <w:rPr>
      <w:rFonts w:eastAsia="Times New Roman" w:cs="Times New Roman"/>
      <w:sz w:val="22"/>
      <w:szCs w:val="22"/>
      <w:lang w:val="en-US" w:eastAsia="ja-JP" w:bidi="ar-SA"/>
    </w:rPr>
  </w:style>
  <w:style w:type="character" w:styleId="af0">
    <w:name w:val="Emphasis"/>
    <w:qFormat/>
    <w:rsid w:val="00266968"/>
    <w:rPr>
      <w:rFonts w:cs="Times New Roman"/>
      <w:i/>
      <w:iCs/>
    </w:rPr>
  </w:style>
  <w:style w:type="paragraph" w:styleId="af1">
    <w:name w:val="caption"/>
    <w:basedOn w:val="a0"/>
    <w:next w:val="a0"/>
    <w:qFormat/>
    <w:rsid w:val="00ED04D6"/>
    <w:pPr>
      <w:spacing w:after="0" w:line="240" w:lineRule="auto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character" w:customStyle="1" w:styleId="ListParagraphChar">
    <w:name w:val="List Paragraph Char"/>
    <w:link w:val="11"/>
    <w:locked/>
    <w:rsid w:val="006E22BF"/>
  </w:style>
  <w:style w:type="character" w:customStyle="1" w:styleId="20">
    <w:name w:val="Заголовок 2 Знак"/>
    <w:link w:val="2"/>
    <w:semiHidden/>
    <w:locked/>
    <w:rsid w:val="006E22BF"/>
    <w:rPr>
      <w:rFonts w:ascii="Cambria" w:hAnsi="Cambria" w:cs="Times New Roman"/>
      <w:b/>
      <w:bCs/>
      <w:color w:val="4F81BD"/>
      <w:sz w:val="26"/>
      <w:szCs w:val="26"/>
    </w:rPr>
  </w:style>
  <w:style w:type="paragraph" w:styleId="af2">
    <w:name w:val="Normal (Web)"/>
    <w:basedOn w:val="a0"/>
    <w:uiPriority w:val="99"/>
    <w:rsid w:val="00A73AC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B52E3A"/>
    <w:rPr>
      <w:rFonts w:ascii="Cambria" w:hAnsi="Cambria" w:cs="Times New Roman"/>
      <w:b/>
      <w:bCs/>
      <w:color w:val="4F81BD"/>
    </w:rPr>
  </w:style>
  <w:style w:type="character" w:customStyle="1" w:styleId="mw-headline">
    <w:name w:val="mw-headline"/>
    <w:rsid w:val="00B52E3A"/>
    <w:rPr>
      <w:rFonts w:cs="Times New Roman"/>
    </w:rPr>
  </w:style>
  <w:style w:type="paragraph" w:styleId="af3">
    <w:name w:val="Body Text"/>
    <w:basedOn w:val="a0"/>
    <w:link w:val="af4"/>
    <w:semiHidden/>
    <w:rsid w:val="004E4B07"/>
    <w:pPr>
      <w:spacing w:after="120"/>
    </w:pPr>
  </w:style>
  <w:style w:type="character" w:customStyle="1" w:styleId="af4">
    <w:name w:val="Основной текст Знак"/>
    <w:link w:val="af3"/>
    <w:semiHidden/>
    <w:locked/>
    <w:rsid w:val="004E4B07"/>
    <w:rPr>
      <w:rFonts w:cs="Times New Roman"/>
    </w:rPr>
  </w:style>
  <w:style w:type="paragraph" w:customStyle="1" w:styleId="ConsPlusNormal">
    <w:name w:val="ConsPlusNormal"/>
    <w:basedOn w:val="a0"/>
    <w:rsid w:val="003B3BA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s04">
    <w:name w:val="s04 подПункт"/>
    <w:basedOn w:val="a0"/>
    <w:rsid w:val="000D27E5"/>
    <w:pPr>
      <w:keepNext/>
      <w:widowControl w:val="0"/>
      <w:numPr>
        <w:ilvl w:val="3"/>
        <w:numId w:val="1"/>
      </w:numPr>
      <w:tabs>
        <w:tab w:val="left" w:pos="1134"/>
        <w:tab w:val="left" w:pos="1276"/>
      </w:tabs>
      <w:overflowPunct w:val="0"/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Calibri" w:hAnsi="Arial"/>
      <w:bCs/>
      <w:szCs w:val="28"/>
      <w:lang w:val="ru-RU" w:eastAsia="ru-RU"/>
    </w:rPr>
  </w:style>
  <w:style w:type="paragraph" w:customStyle="1" w:styleId="s12101">
    <w:name w:val="s12 Т  Кол1 Ном01 Жирн"/>
    <w:basedOn w:val="a0"/>
    <w:next w:val="a0"/>
    <w:rsid w:val="000D27E5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20" w:after="0" w:line="240" w:lineRule="auto"/>
      <w:ind w:firstLine="340"/>
      <w:outlineLvl w:val="6"/>
    </w:pPr>
    <w:rPr>
      <w:rFonts w:ascii="Arial" w:hAnsi="Arial" w:cs="Arial"/>
      <w:b/>
      <w:sz w:val="20"/>
      <w:szCs w:val="24"/>
    </w:rPr>
  </w:style>
  <w:style w:type="paragraph" w:customStyle="1" w:styleId="s1601">
    <w:name w:val="s16 Т Ном01. Отст"/>
    <w:basedOn w:val="a0"/>
    <w:rsid w:val="000D27E5"/>
    <w:pPr>
      <w:keepNext/>
      <w:numPr>
        <w:ilvl w:val="7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outlineLvl w:val="8"/>
    </w:pPr>
    <w:rPr>
      <w:rFonts w:ascii="Arial" w:eastAsia="Calibri" w:hAnsi="Arial"/>
      <w:bCs/>
      <w:sz w:val="20"/>
      <w:szCs w:val="28"/>
      <w:lang w:val="ru-RU" w:eastAsia="ru-RU"/>
    </w:rPr>
  </w:style>
  <w:style w:type="paragraph" w:customStyle="1" w:styleId="s091">
    <w:name w:val="s09 Список а1)"/>
    <w:basedOn w:val="a0"/>
    <w:rsid w:val="000D27E5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Arial" w:hAnsi="Arial" w:cs="Arial"/>
      <w:szCs w:val="24"/>
    </w:rPr>
  </w:style>
  <w:style w:type="paragraph" w:customStyle="1" w:styleId="s170101">
    <w:name w:val="s17 Т Ном01.01"/>
    <w:basedOn w:val="s1601"/>
    <w:rsid w:val="000D27E5"/>
    <w:pPr>
      <w:numPr>
        <w:ilvl w:val="8"/>
      </w:numPr>
    </w:pPr>
  </w:style>
  <w:style w:type="paragraph" w:styleId="a">
    <w:name w:val="List"/>
    <w:basedOn w:val="a0"/>
    <w:rsid w:val="00E22230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No Spacing"/>
    <w:aliases w:val="Стиль Илюшки!"/>
    <w:uiPriority w:val="1"/>
    <w:qFormat/>
    <w:rsid w:val="007451F2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styleId="af6">
    <w:name w:val="List Paragraph"/>
    <w:basedOn w:val="a0"/>
    <w:uiPriority w:val="34"/>
    <w:qFormat/>
    <w:rsid w:val="00EE369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western">
    <w:name w:val="western"/>
    <w:basedOn w:val="a0"/>
    <w:rsid w:val="00AB4E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f7">
    <w:name w:val="Table Grid"/>
    <w:basedOn w:val="a2"/>
    <w:locked/>
    <w:rsid w:val="003B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1"/>
    <w:rsid w:val="00326112"/>
  </w:style>
  <w:style w:type="table" w:customStyle="1" w:styleId="13">
    <w:name w:val="Сетка таблицы1"/>
    <w:basedOn w:val="a2"/>
    <w:next w:val="af7"/>
    <w:uiPriority w:val="39"/>
    <w:rsid w:val="004A7991"/>
    <w:rPr>
      <w:rFonts w:ascii="Georgia" w:eastAsiaTheme="minorHAnsi" w:hAnsi="Georgia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YT\&#1096;&#1072;&#1073;&#1083;&#1086;&#1085;%20BM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6A13-8BA5-4CC3-B047-E60F77CF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BMC</Template>
  <TotalTime>4</TotalTime>
  <Pages>8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статус документа: документ на голосовании</vt:lpstr>
    </vt:vector>
  </TitlesOfParts>
  <Company>MegaFon</Company>
  <LinksUpToDate>false</LinksUpToDate>
  <CharactersWithSpaces>17051</CharactersWithSpaces>
  <SharedDoc>false</SharedDoc>
  <HLinks>
    <vt:vector size="12" baseType="variant">
      <vt:variant>
        <vt:i4>7995436</vt:i4>
      </vt:variant>
      <vt:variant>
        <vt:i4>3</vt:i4>
      </vt:variant>
      <vt:variant>
        <vt:i4>0</vt:i4>
      </vt:variant>
      <vt:variant>
        <vt:i4>5</vt:i4>
      </vt:variant>
      <vt:variant>
        <vt:lpwstr>http://www.bmcenter.ru/</vt:lpwstr>
      </vt:variant>
      <vt:variant>
        <vt:lpwstr/>
      </vt:variant>
      <vt:variant>
        <vt:i4>7995436</vt:i4>
      </vt:variant>
      <vt:variant>
        <vt:i4>0</vt:i4>
      </vt:variant>
      <vt:variant>
        <vt:i4>0</vt:i4>
      </vt:variant>
      <vt:variant>
        <vt:i4>5</vt:i4>
      </vt:variant>
      <vt:variant>
        <vt:lpwstr>http://www.bmcenter.ru/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документа: документ на голосовании</dc:title>
  <dc:creator>1</dc:creator>
  <cp:lastModifiedBy>1</cp:lastModifiedBy>
  <cp:revision>1</cp:revision>
  <cp:lastPrinted>2014-12-03T15:06:00Z</cp:lastPrinted>
  <dcterms:created xsi:type="dcterms:W3CDTF">2015-11-27T04:49:00Z</dcterms:created>
  <dcterms:modified xsi:type="dcterms:W3CDTF">2015-11-27T04:53:00Z</dcterms:modified>
</cp:coreProperties>
</file>