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0D" w:rsidRPr="00AC3604" w:rsidRDefault="007F710D" w:rsidP="007F710D">
      <w:pPr>
        <w:pStyle w:val="af1"/>
        <w:ind w:right="141"/>
        <w:rPr>
          <w:rFonts w:ascii="Times New Roman" w:hAnsi="Times New Roman"/>
          <w:sz w:val="28"/>
          <w:szCs w:val="28"/>
        </w:rPr>
      </w:pPr>
      <w:bookmarkStart w:id="0" w:name="_Toc278895843"/>
      <w:r w:rsidRPr="00AC3604">
        <w:rPr>
          <w:rFonts w:ascii="Times New Roman" w:hAnsi="Times New Roman"/>
          <w:noProof/>
          <w:sz w:val="28"/>
          <w:szCs w:val="28"/>
          <w:lang w:eastAsia="ru-RU"/>
        </w:rPr>
        <w:drawing>
          <wp:inline distT="0" distB="0" distL="0" distR="0">
            <wp:extent cx="1147864" cy="425134"/>
            <wp:effectExtent l="0" t="0" r="0" b="0"/>
            <wp:docPr id="2" name="Рисунок 2" descr="http://bmcenter.ru/users/3078/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mcenter.ru/users/3078/img/logo.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458" cy="433873"/>
                    </a:xfrm>
                    <a:prstGeom prst="rect">
                      <a:avLst/>
                    </a:prstGeom>
                    <a:noFill/>
                    <a:ln>
                      <a:noFill/>
                    </a:ln>
                  </pic:spPr>
                </pic:pic>
              </a:graphicData>
            </a:graphic>
          </wp:inline>
        </w:drawing>
      </w:r>
    </w:p>
    <w:p w:rsidR="007F710D" w:rsidRPr="00AC3604" w:rsidRDefault="007F710D" w:rsidP="007F710D">
      <w:pPr>
        <w:pStyle w:val="af1"/>
        <w:ind w:right="141"/>
        <w:rPr>
          <w:rFonts w:ascii="Times New Roman" w:hAnsi="Times New Roman"/>
          <w:sz w:val="28"/>
          <w:szCs w:val="28"/>
        </w:rPr>
      </w:pPr>
      <w:r w:rsidRPr="00AC3604">
        <w:rPr>
          <w:rFonts w:ascii="Times New Roman" w:hAnsi="Times New Roman"/>
          <w:sz w:val="28"/>
          <w:szCs w:val="28"/>
        </w:rPr>
        <w:t>ФОНД «НАЦИОНАЛЬНЫЙ НЕГОСУДАРСТВЕННЫЙ</w:t>
      </w:r>
      <w:r w:rsidRPr="00AC3604">
        <w:rPr>
          <w:rFonts w:ascii="Times New Roman" w:hAnsi="Times New Roman"/>
          <w:sz w:val="28"/>
          <w:szCs w:val="28"/>
        </w:rPr>
        <w:br/>
        <w:t>РЕГУЛЯТОР БУХГАЛТЕРСКОГО УЧЁТА</w:t>
      </w:r>
      <w:r w:rsidRPr="00AC3604">
        <w:rPr>
          <w:rFonts w:ascii="Times New Roman" w:hAnsi="Times New Roman"/>
          <w:sz w:val="28"/>
          <w:szCs w:val="28"/>
        </w:rPr>
        <w:br/>
        <w:t>«БУХГАЛТЕРСКИЙ МЕТОДОЛОГИЧЕСКИЙ ЦЕНТР»</w:t>
      </w:r>
    </w:p>
    <w:p w:rsidR="007F710D" w:rsidRPr="007F710D" w:rsidRDefault="007F710D" w:rsidP="007F710D">
      <w:pPr>
        <w:jc w:val="center"/>
        <w:rPr>
          <w:b/>
          <w:iCs/>
          <w:color w:val="006666"/>
          <w:spacing w:val="20"/>
          <w:sz w:val="28"/>
          <w:szCs w:val="28"/>
          <w:lang w:val="ru-RU"/>
        </w:rPr>
      </w:pPr>
      <w:r w:rsidRPr="007F710D">
        <w:rPr>
          <w:b/>
          <w:iCs/>
          <w:color w:val="006666"/>
          <w:spacing w:val="20"/>
          <w:sz w:val="28"/>
          <w:szCs w:val="28"/>
          <w:lang w:val="ru-RU"/>
        </w:rPr>
        <w:t>(ФОНД «НРБУ «БМЦ»)</w:t>
      </w:r>
    </w:p>
    <w:p w:rsidR="007F710D" w:rsidRPr="007F710D" w:rsidRDefault="007F710D" w:rsidP="007F710D">
      <w:pPr>
        <w:rPr>
          <w:sz w:val="28"/>
          <w:szCs w:val="28"/>
          <w:lang w:val="ru-RU"/>
        </w:rPr>
      </w:pPr>
    </w:p>
    <w:bookmarkEnd w:id="0"/>
    <w:p w:rsidR="007F710D" w:rsidRPr="007F710D" w:rsidRDefault="007F710D" w:rsidP="007F710D">
      <w:pPr>
        <w:keepNext/>
        <w:keepLines/>
        <w:spacing w:before="360" w:after="240"/>
        <w:jc w:val="right"/>
        <w:rPr>
          <w:rFonts w:asciiTheme="minorHAnsi" w:hAnsiTheme="minorHAnsi"/>
          <w:b/>
          <w:i/>
          <w:color w:val="C00000"/>
          <w:lang w:val="ru-RU"/>
        </w:rPr>
      </w:pPr>
      <w:r>
        <w:rPr>
          <w:rFonts w:asciiTheme="minorHAnsi" w:hAnsiTheme="minorHAnsi"/>
          <w:b/>
          <w:i/>
          <w:color w:val="C00000"/>
          <w:lang w:val="ru-RU"/>
        </w:rPr>
        <w:t xml:space="preserve">                           </w:t>
      </w:r>
      <w:r w:rsidRPr="007F710D">
        <w:rPr>
          <w:rFonts w:asciiTheme="minorHAnsi" w:hAnsiTheme="minorHAnsi"/>
          <w:b/>
          <w:i/>
          <w:color w:val="C00000"/>
          <w:lang w:val="ru-RU"/>
        </w:rPr>
        <w:t xml:space="preserve">Проект на заседание </w:t>
      </w:r>
      <w:r w:rsidR="00F5664A">
        <w:rPr>
          <w:rFonts w:asciiTheme="minorHAnsi" w:hAnsiTheme="minorHAnsi"/>
          <w:b/>
          <w:i/>
          <w:color w:val="C00000"/>
          <w:lang w:val="ru-RU"/>
        </w:rPr>
        <w:t>ОК Строительство</w:t>
      </w:r>
      <w:r w:rsidRPr="007F710D">
        <w:rPr>
          <w:rFonts w:asciiTheme="minorHAnsi" w:hAnsiTheme="minorHAnsi"/>
          <w:b/>
          <w:i/>
          <w:color w:val="C00000"/>
          <w:lang w:val="ru-RU"/>
        </w:rPr>
        <w:t xml:space="preserve"> 2017-</w:t>
      </w:r>
      <w:r>
        <w:rPr>
          <w:rFonts w:asciiTheme="minorHAnsi" w:hAnsiTheme="minorHAnsi"/>
          <w:b/>
          <w:i/>
          <w:color w:val="C00000"/>
          <w:lang w:val="ru-RU"/>
        </w:rPr>
        <w:t>10</w:t>
      </w:r>
      <w:r w:rsidRPr="007F710D">
        <w:rPr>
          <w:rFonts w:asciiTheme="minorHAnsi" w:hAnsiTheme="minorHAnsi"/>
          <w:b/>
          <w:i/>
          <w:color w:val="C00000"/>
          <w:lang w:val="ru-RU"/>
        </w:rPr>
        <w:t>-</w:t>
      </w:r>
      <w:r>
        <w:rPr>
          <w:rFonts w:asciiTheme="minorHAnsi" w:hAnsiTheme="minorHAnsi"/>
          <w:b/>
          <w:i/>
          <w:color w:val="C00000"/>
          <w:lang w:val="ru-RU"/>
        </w:rPr>
        <w:t>06</w:t>
      </w:r>
      <w:r w:rsidRPr="007F710D">
        <w:rPr>
          <w:rFonts w:asciiTheme="minorHAnsi" w:hAnsiTheme="minorHAnsi"/>
          <w:b/>
          <w:i/>
          <w:color w:val="C00000"/>
          <w:lang w:val="ru-RU"/>
        </w:rPr>
        <w:tab/>
      </w:r>
    </w:p>
    <w:p w:rsidR="007F710D" w:rsidRDefault="007F710D" w:rsidP="007F710D">
      <w:pPr>
        <w:pStyle w:val="1"/>
        <w:rPr>
          <w:rFonts w:asciiTheme="minorHAnsi" w:hAnsiTheme="minorHAnsi"/>
        </w:rPr>
      </w:pPr>
    </w:p>
    <w:p w:rsidR="007F710D" w:rsidRPr="007F710D" w:rsidRDefault="007F710D" w:rsidP="007F710D">
      <w:pPr>
        <w:shd w:val="clear" w:color="auto" w:fill="FFFFFF"/>
        <w:spacing w:before="120" w:after="0" w:line="360" w:lineRule="auto"/>
        <w:jc w:val="center"/>
        <w:rPr>
          <w:b/>
          <w:color w:val="C00000"/>
          <w:sz w:val="24"/>
          <w:szCs w:val="24"/>
          <w:lang w:val="ru-RU"/>
        </w:rPr>
      </w:pPr>
      <w:r w:rsidRPr="007F710D">
        <w:rPr>
          <w:b/>
          <w:color w:val="C00000"/>
          <w:sz w:val="24"/>
          <w:szCs w:val="24"/>
          <w:lang w:val="ru-RU"/>
        </w:rPr>
        <w:t>РЕКОМЕНДАЦИЯ  Р-Х/201</w:t>
      </w:r>
      <w:r w:rsidR="00823B70">
        <w:rPr>
          <w:b/>
          <w:color w:val="C00000"/>
          <w:sz w:val="24"/>
          <w:szCs w:val="24"/>
          <w:lang w:val="ru-RU"/>
        </w:rPr>
        <w:t>9</w:t>
      </w:r>
      <w:r w:rsidRPr="007F710D">
        <w:rPr>
          <w:b/>
          <w:color w:val="C00000"/>
          <w:sz w:val="24"/>
          <w:szCs w:val="24"/>
          <w:lang w:val="ru-RU"/>
        </w:rPr>
        <w:t xml:space="preserve"> – ОК СТРОИТЕЛЬСТВО</w:t>
      </w:r>
    </w:p>
    <w:p w:rsidR="007F710D" w:rsidRPr="007F710D" w:rsidRDefault="007F710D" w:rsidP="007F710D">
      <w:pPr>
        <w:shd w:val="clear" w:color="auto" w:fill="FFFFFF"/>
        <w:spacing w:after="0" w:line="360" w:lineRule="auto"/>
        <w:jc w:val="center"/>
        <w:rPr>
          <w:b/>
          <w:color w:val="C00000"/>
          <w:sz w:val="24"/>
          <w:szCs w:val="24"/>
          <w:lang w:val="ru-RU"/>
        </w:rPr>
      </w:pPr>
      <w:r w:rsidRPr="007F710D">
        <w:rPr>
          <w:b/>
          <w:color w:val="C00000"/>
          <w:sz w:val="24"/>
          <w:szCs w:val="24"/>
          <w:lang w:val="ru-RU"/>
        </w:rPr>
        <w:t>«УЧЕТ ДОГОВОРОВ ДОЛЕВОГО УЧАСТИЯ (ДДУ) У ЗАСТРОЙЩИКА»</w:t>
      </w:r>
    </w:p>
    <w:p w:rsidR="007F710D" w:rsidRDefault="007F710D" w:rsidP="009D0D3E">
      <w:pPr>
        <w:spacing w:after="0" w:line="360" w:lineRule="auto"/>
        <w:jc w:val="both"/>
        <w:rPr>
          <w:bCs/>
          <w:color w:val="C00000"/>
          <w:sz w:val="24"/>
          <w:szCs w:val="24"/>
          <w:lang w:val="ru-RU"/>
        </w:rPr>
      </w:pPr>
    </w:p>
    <w:p w:rsidR="007F710D" w:rsidRPr="007F710D" w:rsidRDefault="007F710D" w:rsidP="009D0D3E">
      <w:pPr>
        <w:spacing w:after="0" w:line="360" w:lineRule="auto"/>
        <w:jc w:val="both"/>
        <w:rPr>
          <w:rStyle w:val="a8"/>
          <w:rFonts w:asciiTheme="minorHAnsi" w:hAnsiTheme="minorHAnsi" w:cstheme="minorHAnsi"/>
          <w:color w:val="000000"/>
          <w:sz w:val="24"/>
          <w:szCs w:val="24"/>
          <w:bdr w:val="none" w:sz="0" w:space="0" w:color="auto" w:frame="1"/>
          <w:shd w:val="clear" w:color="auto" w:fill="FFFFFF"/>
          <w:lang w:val="ru-RU"/>
        </w:rPr>
      </w:pPr>
      <w:r w:rsidRPr="00F5664A">
        <w:rPr>
          <w:rFonts w:ascii="Verdana" w:hAnsi="Verdana"/>
          <w:b/>
          <w:bCs/>
          <w:color w:val="008080"/>
          <w:sz w:val="18"/>
          <w:szCs w:val="18"/>
          <w:bdr w:val="none" w:sz="0" w:space="0" w:color="auto" w:frame="1"/>
          <w:lang w:val="ru-RU"/>
        </w:rPr>
        <w:br/>
      </w:r>
      <w:r w:rsidRPr="00823B70">
        <w:rPr>
          <w:rStyle w:val="a8"/>
          <w:rFonts w:asciiTheme="minorHAnsi" w:hAnsiTheme="minorHAnsi" w:cstheme="minorHAnsi"/>
          <w:color w:val="008080"/>
          <w:sz w:val="24"/>
          <w:szCs w:val="24"/>
          <w:bdr w:val="none" w:sz="0" w:space="0" w:color="auto" w:frame="1"/>
          <w:lang w:val="ru-RU"/>
        </w:rPr>
        <w:t>ОПИСАНИЕ ПРОБЛЕМЫ</w:t>
      </w:r>
      <w:r w:rsidRPr="007F710D">
        <w:rPr>
          <w:rStyle w:val="a8"/>
          <w:rFonts w:asciiTheme="minorHAnsi" w:hAnsiTheme="minorHAnsi" w:cstheme="minorHAnsi"/>
          <w:color w:val="000000"/>
          <w:sz w:val="24"/>
          <w:szCs w:val="24"/>
          <w:bdr w:val="none" w:sz="0" w:space="0" w:color="auto" w:frame="1"/>
          <w:shd w:val="clear" w:color="auto" w:fill="FFFFFF"/>
        </w:rPr>
        <w:t> </w:t>
      </w:r>
    </w:p>
    <w:p w:rsidR="001A1B95" w:rsidRPr="001A1B95" w:rsidRDefault="001A1B95" w:rsidP="007F710D">
      <w:pPr>
        <w:spacing w:before="120" w:after="0" w:line="360" w:lineRule="auto"/>
        <w:jc w:val="both"/>
        <w:rPr>
          <w:rFonts w:ascii="Times New Roman" w:eastAsiaTheme="minorHAnsi" w:hAnsi="Times New Roman"/>
          <w:sz w:val="24"/>
          <w:szCs w:val="24"/>
          <w:lang w:val="ru-RU" w:eastAsia="ru-RU"/>
        </w:rPr>
      </w:pPr>
      <w:r>
        <w:rPr>
          <w:rFonts w:ascii="Times New Roman" w:eastAsiaTheme="minorHAnsi" w:hAnsi="Times New Roman"/>
          <w:sz w:val="24"/>
          <w:szCs w:val="24"/>
          <w:lang w:val="ru-RU" w:eastAsia="ru-RU"/>
        </w:rPr>
        <w:t>Застройщик (юридическое лицо)</w:t>
      </w:r>
      <w:r w:rsidR="00770D37">
        <w:rPr>
          <w:rFonts w:ascii="Times New Roman" w:eastAsiaTheme="minorHAnsi" w:hAnsi="Times New Roman"/>
          <w:sz w:val="24"/>
          <w:szCs w:val="24"/>
          <w:lang w:val="ru-RU" w:eastAsia="ru-RU"/>
        </w:rPr>
        <w:t xml:space="preserve"> на основании </w:t>
      </w:r>
      <w:r w:rsidRPr="001A1B95">
        <w:rPr>
          <w:rFonts w:ascii="Times New Roman" w:eastAsiaTheme="minorHAnsi" w:hAnsi="Times New Roman"/>
          <w:sz w:val="24"/>
          <w:szCs w:val="24"/>
          <w:lang w:val="ru-RU" w:eastAsia="ru-RU"/>
        </w:rPr>
        <w:t>разрешения на стро</w:t>
      </w:r>
      <w:r>
        <w:rPr>
          <w:rFonts w:ascii="Times New Roman" w:eastAsiaTheme="minorHAnsi" w:hAnsi="Times New Roman"/>
          <w:sz w:val="24"/>
          <w:szCs w:val="24"/>
          <w:lang w:val="ru-RU" w:eastAsia="ru-RU"/>
        </w:rPr>
        <w:t>ительство привлекает денежные средства физических л</w:t>
      </w:r>
      <w:r w:rsidR="00847584">
        <w:rPr>
          <w:rFonts w:ascii="Times New Roman" w:eastAsiaTheme="minorHAnsi" w:hAnsi="Times New Roman"/>
          <w:sz w:val="24"/>
          <w:szCs w:val="24"/>
          <w:lang w:val="ru-RU" w:eastAsia="ru-RU"/>
        </w:rPr>
        <w:t xml:space="preserve">иц </w:t>
      </w:r>
      <w:r w:rsidRPr="001A1B95">
        <w:rPr>
          <w:rFonts w:ascii="Times New Roman" w:eastAsiaTheme="minorHAnsi" w:hAnsi="Times New Roman"/>
          <w:sz w:val="24"/>
          <w:szCs w:val="24"/>
          <w:lang w:val="ru-RU" w:eastAsia="ru-RU"/>
        </w:rPr>
        <w:t xml:space="preserve">по договорам участия в долевом строительстве </w:t>
      </w:r>
      <w:r>
        <w:rPr>
          <w:rFonts w:ascii="Times New Roman" w:eastAsiaTheme="minorHAnsi" w:hAnsi="Times New Roman"/>
          <w:sz w:val="24"/>
          <w:szCs w:val="24"/>
          <w:lang w:val="ru-RU" w:eastAsia="ru-RU"/>
        </w:rPr>
        <w:t>многоквартирных домов (далее – МКД)</w:t>
      </w:r>
      <w:r w:rsidRPr="001A1B95">
        <w:rPr>
          <w:rFonts w:ascii="Times New Roman" w:eastAsiaTheme="minorHAnsi" w:hAnsi="Times New Roman"/>
          <w:sz w:val="24"/>
          <w:szCs w:val="24"/>
          <w:lang w:val="ru-RU" w:eastAsia="ru-RU"/>
        </w:rPr>
        <w:t xml:space="preserve"> в рамках </w:t>
      </w:r>
      <w:r>
        <w:rPr>
          <w:rFonts w:ascii="Times New Roman" w:eastAsiaTheme="minorHAnsi" w:hAnsi="Times New Roman"/>
          <w:sz w:val="24"/>
          <w:szCs w:val="24"/>
          <w:lang w:val="ru-RU" w:eastAsia="ru-RU"/>
        </w:rPr>
        <w:t>Федерального закона</w:t>
      </w:r>
      <w:r w:rsidRPr="001A1B95">
        <w:rPr>
          <w:rFonts w:ascii="Times New Roman" w:eastAsiaTheme="minorHAnsi" w:hAnsi="Times New Roman"/>
          <w:sz w:val="24"/>
          <w:szCs w:val="24"/>
          <w:lang w:val="ru-RU"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w:t>
      </w:r>
      <w:r>
        <w:rPr>
          <w:rFonts w:ascii="Times New Roman" w:eastAsiaTheme="minorHAnsi" w:hAnsi="Times New Roman"/>
          <w:sz w:val="24"/>
          <w:szCs w:val="24"/>
          <w:lang w:val="ru-RU" w:eastAsia="ru-RU"/>
        </w:rPr>
        <w:t>№</w:t>
      </w:r>
      <w:r w:rsidRPr="001A1B95">
        <w:rPr>
          <w:rFonts w:ascii="Times New Roman" w:eastAsiaTheme="minorHAnsi" w:hAnsi="Times New Roman"/>
          <w:sz w:val="24"/>
          <w:szCs w:val="24"/>
          <w:lang w:val="ru-RU" w:eastAsia="ru-RU"/>
        </w:rPr>
        <w:t xml:space="preserve"> 214-ФЗ</w:t>
      </w:r>
      <w:r w:rsidR="0037767C">
        <w:rPr>
          <w:rFonts w:ascii="Times New Roman" w:eastAsiaTheme="minorHAnsi" w:hAnsi="Times New Roman"/>
          <w:sz w:val="24"/>
          <w:szCs w:val="24"/>
          <w:lang w:val="ru-RU" w:eastAsia="ru-RU"/>
        </w:rPr>
        <w:t xml:space="preserve"> (далее -214-ФЗ)</w:t>
      </w:r>
      <w:r w:rsidRPr="001A1B95">
        <w:rPr>
          <w:rFonts w:ascii="Times New Roman" w:eastAsiaTheme="minorHAnsi" w:hAnsi="Times New Roman"/>
          <w:sz w:val="24"/>
          <w:szCs w:val="24"/>
          <w:lang w:val="ru-RU" w:eastAsia="ru-RU"/>
        </w:rPr>
        <w:t>.</w:t>
      </w:r>
    </w:p>
    <w:p w:rsidR="001A1B95" w:rsidRPr="001A1B95" w:rsidRDefault="001A1B95" w:rsidP="009D0D3E">
      <w:pPr>
        <w:spacing w:before="120" w:after="0" w:line="360" w:lineRule="auto"/>
        <w:jc w:val="both"/>
        <w:rPr>
          <w:rFonts w:ascii="Times New Roman" w:eastAsiaTheme="minorHAnsi" w:hAnsi="Times New Roman"/>
          <w:sz w:val="24"/>
          <w:szCs w:val="24"/>
          <w:lang w:val="ru-RU" w:eastAsia="ru-RU"/>
        </w:rPr>
      </w:pPr>
      <w:r w:rsidRPr="001A1B95">
        <w:rPr>
          <w:rFonts w:ascii="Times New Roman" w:eastAsiaTheme="minorHAnsi" w:hAnsi="Times New Roman"/>
          <w:sz w:val="24"/>
          <w:szCs w:val="24"/>
          <w:lang w:val="ru-RU" w:eastAsia="ru-RU"/>
        </w:rPr>
        <w:t xml:space="preserve">Строительство ведется порядным способом с привлечением генерального подрядчика. </w:t>
      </w:r>
    </w:p>
    <w:p w:rsidR="001A1B95" w:rsidRPr="001A1B95" w:rsidRDefault="001A1B95" w:rsidP="009D0D3E">
      <w:pPr>
        <w:spacing w:after="0" w:line="360" w:lineRule="auto"/>
        <w:jc w:val="both"/>
        <w:rPr>
          <w:rFonts w:ascii="Times New Roman" w:eastAsiaTheme="minorHAnsi" w:hAnsi="Times New Roman"/>
          <w:sz w:val="24"/>
          <w:szCs w:val="24"/>
          <w:lang w:val="ru-RU" w:eastAsia="ru-RU"/>
        </w:rPr>
      </w:pPr>
      <w:r>
        <w:rPr>
          <w:rFonts w:ascii="Times New Roman" w:eastAsiaTheme="minorHAnsi" w:hAnsi="Times New Roman"/>
          <w:sz w:val="24"/>
          <w:szCs w:val="24"/>
          <w:lang w:val="ru-RU" w:eastAsia="ru-RU"/>
        </w:rPr>
        <w:t xml:space="preserve">К основным условиям </w:t>
      </w:r>
      <w:r w:rsidRPr="001A1B95">
        <w:rPr>
          <w:rFonts w:ascii="Times New Roman" w:eastAsiaTheme="minorHAnsi" w:hAnsi="Times New Roman"/>
          <w:sz w:val="24"/>
          <w:szCs w:val="24"/>
          <w:lang w:val="ru-RU" w:eastAsia="ru-RU"/>
        </w:rPr>
        <w:t xml:space="preserve">договора </w:t>
      </w:r>
      <w:r>
        <w:rPr>
          <w:rFonts w:ascii="Times New Roman" w:eastAsiaTheme="minorHAnsi" w:hAnsi="Times New Roman"/>
          <w:sz w:val="24"/>
          <w:szCs w:val="24"/>
          <w:lang w:val="ru-RU" w:eastAsia="ru-RU"/>
        </w:rPr>
        <w:t>долевого участия (далее – ДДУ) относятся</w:t>
      </w:r>
      <w:r w:rsidRPr="001A1B95">
        <w:rPr>
          <w:rFonts w:ascii="Times New Roman" w:eastAsiaTheme="minorHAnsi" w:hAnsi="Times New Roman"/>
          <w:sz w:val="24"/>
          <w:szCs w:val="24"/>
          <w:lang w:val="ru-RU" w:eastAsia="ru-RU"/>
        </w:rPr>
        <w:t>:</w:t>
      </w:r>
    </w:p>
    <w:p w:rsidR="001A1B95" w:rsidRDefault="001A1B95" w:rsidP="009D0D3E">
      <w:pPr>
        <w:pStyle w:val="ac"/>
        <w:numPr>
          <w:ilvl w:val="0"/>
          <w:numId w:val="23"/>
        </w:numPr>
        <w:spacing w:after="0" w:line="360" w:lineRule="auto"/>
        <w:jc w:val="both"/>
        <w:rPr>
          <w:rFonts w:ascii="Times New Roman" w:hAnsi="Times New Roman"/>
          <w:sz w:val="24"/>
          <w:szCs w:val="24"/>
          <w:lang w:eastAsia="ru-RU"/>
        </w:rPr>
      </w:pPr>
      <w:r>
        <w:rPr>
          <w:rFonts w:ascii="Times New Roman" w:hAnsi="Times New Roman"/>
          <w:sz w:val="24"/>
          <w:szCs w:val="24"/>
          <w:lang w:eastAsia="ru-RU"/>
        </w:rPr>
        <w:t>ц</w:t>
      </w:r>
      <w:r w:rsidRPr="001A1B95">
        <w:rPr>
          <w:rFonts w:ascii="Times New Roman" w:hAnsi="Times New Roman"/>
          <w:sz w:val="24"/>
          <w:szCs w:val="24"/>
          <w:lang w:eastAsia="ru-RU"/>
        </w:rPr>
        <w:t>ена договора определяется как сумма денежных средств на возмещение затрат на строительство и денежных средств на о</w:t>
      </w:r>
      <w:r>
        <w:rPr>
          <w:rFonts w:ascii="Times New Roman" w:hAnsi="Times New Roman"/>
          <w:sz w:val="24"/>
          <w:szCs w:val="24"/>
          <w:lang w:eastAsia="ru-RU"/>
        </w:rPr>
        <w:t>плату услуг  (вознаграждение) за</w:t>
      </w:r>
      <w:r w:rsidRPr="001A1B95">
        <w:rPr>
          <w:rFonts w:ascii="Times New Roman" w:hAnsi="Times New Roman"/>
          <w:sz w:val="24"/>
          <w:szCs w:val="24"/>
          <w:lang w:eastAsia="ru-RU"/>
        </w:rPr>
        <w:t>стройщика. Вознаграждение определе</w:t>
      </w:r>
      <w:r>
        <w:rPr>
          <w:rFonts w:ascii="Times New Roman" w:hAnsi="Times New Roman"/>
          <w:sz w:val="24"/>
          <w:szCs w:val="24"/>
          <w:lang w:eastAsia="ru-RU"/>
        </w:rPr>
        <w:t>но в процентах к  цене договора.</w:t>
      </w:r>
    </w:p>
    <w:p w:rsidR="001A1B95" w:rsidRPr="001A1B95" w:rsidRDefault="001A1B95" w:rsidP="009D0D3E">
      <w:pPr>
        <w:pStyle w:val="ac"/>
        <w:numPr>
          <w:ilvl w:val="0"/>
          <w:numId w:val="23"/>
        </w:numPr>
        <w:spacing w:after="0" w:line="360" w:lineRule="auto"/>
        <w:jc w:val="both"/>
        <w:rPr>
          <w:rFonts w:ascii="Times New Roman" w:hAnsi="Times New Roman"/>
          <w:sz w:val="24"/>
          <w:szCs w:val="24"/>
          <w:lang w:eastAsia="ru-RU"/>
        </w:rPr>
      </w:pPr>
      <w:r>
        <w:rPr>
          <w:rFonts w:ascii="Times New Roman" w:hAnsi="Times New Roman"/>
          <w:sz w:val="24"/>
          <w:szCs w:val="24"/>
          <w:lang w:eastAsia="ru-RU"/>
        </w:rPr>
        <w:t>э</w:t>
      </w:r>
      <w:r w:rsidRPr="001A1B95">
        <w:rPr>
          <w:rFonts w:ascii="Times New Roman" w:hAnsi="Times New Roman"/>
          <w:sz w:val="24"/>
          <w:szCs w:val="24"/>
          <w:lang w:eastAsia="ru-RU"/>
        </w:rPr>
        <w:t>кономия, определяемая по р</w:t>
      </w:r>
      <w:r>
        <w:rPr>
          <w:rFonts w:ascii="Times New Roman" w:hAnsi="Times New Roman"/>
          <w:sz w:val="24"/>
          <w:szCs w:val="24"/>
          <w:lang w:eastAsia="ru-RU"/>
        </w:rPr>
        <w:t>езультатам строительства, является дополнительным</w:t>
      </w:r>
      <w:r w:rsidRPr="001A1B95">
        <w:rPr>
          <w:rFonts w:ascii="Times New Roman" w:hAnsi="Times New Roman"/>
          <w:sz w:val="24"/>
          <w:szCs w:val="24"/>
          <w:lang w:eastAsia="ru-RU"/>
        </w:rPr>
        <w:t xml:space="preserve"> </w:t>
      </w:r>
      <w:r>
        <w:rPr>
          <w:rFonts w:ascii="Times New Roman" w:hAnsi="Times New Roman"/>
          <w:sz w:val="24"/>
          <w:szCs w:val="24"/>
          <w:lang w:eastAsia="ru-RU"/>
        </w:rPr>
        <w:t>в</w:t>
      </w:r>
      <w:r w:rsidRPr="001A1B95">
        <w:rPr>
          <w:rFonts w:ascii="Times New Roman" w:hAnsi="Times New Roman"/>
          <w:sz w:val="24"/>
          <w:szCs w:val="24"/>
          <w:lang w:eastAsia="ru-RU"/>
        </w:rPr>
        <w:t>ознаграждение</w:t>
      </w:r>
      <w:r>
        <w:rPr>
          <w:rFonts w:ascii="Times New Roman" w:hAnsi="Times New Roman"/>
          <w:sz w:val="24"/>
          <w:szCs w:val="24"/>
          <w:lang w:eastAsia="ru-RU"/>
        </w:rPr>
        <w:t>м застройщика;</w:t>
      </w:r>
    </w:p>
    <w:p w:rsidR="001A1B95" w:rsidRPr="001A1B95" w:rsidRDefault="001A1B95" w:rsidP="009D0D3E">
      <w:pPr>
        <w:pStyle w:val="ac"/>
        <w:numPr>
          <w:ilvl w:val="0"/>
          <w:numId w:val="23"/>
        </w:num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застройщик в течение </w:t>
      </w:r>
      <w:r w:rsidR="00770D37">
        <w:rPr>
          <w:rFonts w:ascii="Times New Roman" w:hAnsi="Times New Roman"/>
          <w:sz w:val="24"/>
          <w:szCs w:val="24"/>
          <w:lang w:eastAsia="ru-RU"/>
        </w:rPr>
        <w:t xml:space="preserve">6 месяцев </w:t>
      </w:r>
      <w:proofErr w:type="gramStart"/>
      <w:r w:rsidR="00770D37">
        <w:rPr>
          <w:rFonts w:ascii="Times New Roman" w:hAnsi="Times New Roman"/>
          <w:sz w:val="24"/>
          <w:szCs w:val="24"/>
          <w:lang w:eastAsia="ru-RU"/>
        </w:rPr>
        <w:t>с даты получения</w:t>
      </w:r>
      <w:proofErr w:type="gramEnd"/>
      <w:r w:rsidR="00770D37">
        <w:rPr>
          <w:rFonts w:ascii="Times New Roman" w:hAnsi="Times New Roman"/>
          <w:sz w:val="24"/>
          <w:szCs w:val="24"/>
          <w:lang w:eastAsia="ru-RU"/>
        </w:rPr>
        <w:t xml:space="preserve"> </w:t>
      </w:r>
      <w:r w:rsidRPr="001A1B95">
        <w:rPr>
          <w:rFonts w:ascii="Times New Roman" w:hAnsi="Times New Roman"/>
          <w:sz w:val="24"/>
          <w:szCs w:val="24"/>
          <w:lang w:eastAsia="ru-RU"/>
        </w:rPr>
        <w:t xml:space="preserve">разрешения на ввод МКД в эксплуатацию обязан </w:t>
      </w:r>
      <w:r>
        <w:rPr>
          <w:rFonts w:ascii="Times New Roman" w:hAnsi="Times New Roman"/>
          <w:sz w:val="24"/>
          <w:szCs w:val="24"/>
          <w:lang w:eastAsia="ru-RU"/>
        </w:rPr>
        <w:t>по передаточному акту передать у</w:t>
      </w:r>
      <w:r w:rsidRPr="001A1B95">
        <w:rPr>
          <w:rFonts w:ascii="Times New Roman" w:hAnsi="Times New Roman"/>
          <w:sz w:val="24"/>
          <w:szCs w:val="24"/>
          <w:lang w:eastAsia="ru-RU"/>
        </w:rPr>
        <w:t xml:space="preserve">частнику  объект долевого строительства. Оформление </w:t>
      </w:r>
      <w:r>
        <w:rPr>
          <w:rFonts w:ascii="Times New Roman" w:hAnsi="Times New Roman"/>
          <w:sz w:val="24"/>
          <w:szCs w:val="24"/>
          <w:lang w:eastAsia="ru-RU"/>
        </w:rPr>
        <w:t xml:space="preserve">объектов строительства </w:t>
      </w:r>
      <w:r w:rsidRPr="001A1B95">
        <w:rPr>
          <w:rFonts w:ascii="Times New Roman" w:hAnsi="Times New Roman"/>
          <w:sz w:val="24"/>
          <w:szCs w:val="24"/>
          <w:lang w:eastAsia="ru-RU"/>
        </w:rPr>
        <w:t>в собственн</w:t>
      </w:r>
      <w:r>
        <w:rPr>
          <w:rFonts w:ascii="Times New Roman" w:hAnsi="Times New Roman"/>
          <w:sz w:val="24"/>
          <w:szCs w:val="24"/>
          <w:lang w:eastAsia="ru-RU"/>
        </w:rPr>
        <w:t>ость застройщика не предусмотрено.</w:t>
      </w:r>
    </w:p>
    <w:p w:rsidR="001A1B95" w:rsidRPr="001A1B95" w:rsidRDefault="001A1B95" w:rsidP="009D0D3E">
      <w:pPr>
        <w:pStyle w:val="ac"/>
        <w:numPr>
          <w:ilvl w:val="0"/>
          <w:numId w:val="23"/>
        </w:num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обязательства з</w:t>
      </w:r>
      <w:r w:rsidRPr="001A1B95">
        <w:rPr>
          <w:rFonts w:ascii="Times New Roman" w:hAnsi="Times New Roman"/>
          <w:sz w:val="24"/>
          <w:szCs w:val="24"/>
          <w:lang w:eastAsia="ru-RU"/>
        </w:rPr>
        <w:t>астройщика считаются полностью исполненными в момент  подписания передаточного акта.</w:t>
      </w:r>
    </w:p>
    <w:p w:rsidR="001A1B95" w:rsidRDefault="001A1B95" w:rsidP="009D0D3E">
      <w:pPr>
        <w:spacing w:after="0" w:line="360" w:lineRule="auto"/>
        <w:jc w:val="both"/>
        <w:rPr>
          <w:rFonts w:ascii="Times New Roman" w:eastAsiaTheme="minorHAnsi" w:hAnsi="Times New Roman"/>
          <w:sz w:val="24"/>
          <w:szCs w:val="24"/>
          <w:lang w:val="ru-RU" w:eastAsia="ru-RU"/>
        </w:rPr>
      </w:pPr>
      <w:r>
        <w:rPr>
          <w:rFonts w:ascii="Times New Roman" w:eastAsiaTheme="minorHAnsi" w:hAnsi="Times New Roman"/>
          <w:sz w:val="24"/>
          <w:szCs w:val="24"/>
          <w:lang w:val="ru-RU" w:eastAsia="ru-RU"/>
        </w:rPr>
        <w:t>В связи с тем, что</w:t>
      </w:r>
      <w:r w:rsidRPr="001A1B95">
        <w:rPr>
          <w:rFonts w:ascii="Times New Roman" w:eastAsiaTheme="minorHAnsi" w:hAnsi="Times New Roman"/>
          <w:sz w:val="24"/>
          <w:szCs w:val="24"/>
          <w:lang w:val="ru-RU" w:eastAsia="ru-RU"/>
        </w:rPr>
        <w:t xml:space="preserve">  на</w:t>
      </w:r>
      <w:r>
        <w:rPr>
          <w:rFonts w:ascii="Times New Roman" w:eastAsiaTheme="minorHAnsi" w:hAnsi="Times New Roman"/>
          <w:sz w:val="24"/>
          <w:szCs w:val="24"/>
          <w:lang w:val="ru-RU" w:eastAsia="ru-RU"/>
        </w:rPr>
        <w:t xml:space="preserve"> сегодняшний день</w:t>
      </w:r>
      <w:r w:rsidRPr="001A1B95">
        <w:rPr>
          <w:rFonts w:ascii="Times New Roman" w:eastAsiaTheme="minorHAnsi" w:hAnsi="Times New Roman"/>
          <w:sz w:val="24"/>
          <w:szCs w:val="24"/>
          <w:lang w:val="ru-RU" w:eastAsia="ru-RU"/>
        </w:rPr>
        <w:t xml:space="preserve"> порядок ведения бухгалтерского учета </w:t>
      </w:r>
      <w:r>
        <w:rPr>
          <w:rFonts w:ascii="Times New Roman" w:eastAsiaTheme="minorHAnsi" w:hAnsi="Times New Roman"/>
          <w:sz w:val="24"/>
          <w:szCs w:val="24"/>
          <w:lang w:val="ru-RU" w:eastAsia="ru-RU"/>
        </w:rPr>
        <w:t xml:space="preserve"> з</w:t>
      </w:r>
      <w:r w:rsidRPr="001A1B95">
        <w:rPr>
          <w:rFonts w:ascii="Times New Roman" w:eastAsiaTheme="minorHAnsi" w:hAnsi="Times New Roman"/>
          <w:sz w:val="24"/>
          <w:szCs w:val="24"/>
          <w:lang w:val="ru-RU" w:eastAsia="ru-RU"/>
        </w:rPr>
        <w:t>астройщиком в рамках 214-ФЗ не урегулирован,</w:t>
      </w:r>
      <w:r w:rsidR="0037767C">
        <w:rPr>
          <w:rFonts w:ascii="Times New Roman" w:eastAsiaTheme="minorHAnsi" w:hAnsi="Times New Roman"/>
          <w:sz w:val="24"/>
          <w:szCs w:val="24"/>
          <w:lang w:val="ru-RU" w:eastAsia="ru-RU"/>
        </w:rPr>
        <w:t xml:space="preserve"> з</w:t>
      </w:r>
      <w:r w:rsidRPr="001A1B95">
        <w:rPr>
          <w:rFonts w:ascii="Times New Roman" w:eastAsiaTheme="minorHAnsi" w:hAnsi="Times New Roman"/>
          <w:sz w:val="24"/>
          <w:szCs w:val="24"/>
          <w:lang w:val="ru-RU" w:eastAsia="ru-RU"/>
        </w:rPr>
        <w:t>астройщиком в учетной политике</w:t>
      </w:r>
      <w:r w:rsidR="0037767C">
        <w:rPr>
          <w:rFonts w:ascii="Times New Roman" w:eastAsiaTheme="minorHAnsi" w:hAnsi="Times New Roman"/>
          <w:sz w:val="24"/>
          <w:szCs w:val="24"/>
          <w:lang w:val="ru-RU" w:eastAsia="ru-RU"/>
        </w:rPr>
        <w:t xml:space="preserve"> </w:t>
      </w:r>
      <w:r w:rsidR="0037767C" w:rsidRPr="001A1B95">
        <w:rPr>
          <w:rFonts w:ascii="Times New Roman" w:eastAsiaTheme="minorHAnsi" w:hAnsi="Times New Roman"/>
          <w:sz w:val="24"/>
          <w:szCs w:val="24"/>
          <w:lang w:val="ru-RU" w:eastAsia="ru-RU"/>
        </w:rPr>
        <w:t>закреплена</w:t>
      </w:r>
      <w:r w:rsidRPr="001A1B95">
        <w:rPr>
          <w:rFonts w:ascii="Times New Roman" w:eastAsiaTheme="minorHAnsi" w:hAnsi="Times New Roman"/>
          <w:sz w:val="24"/>
          <w:szCs w:val="24"/>
          <w:lang w:val="ru-RU" w:eastAsia="ru-RU"/>
        </w:rPr>
        <w:t xml:space="preserve"> система учета</w:t>
      </w:r>
      <w:r w:rsidR="0037767C">
        <w:rPr>
          <w:rFonts w:ascii="Times New Roman" w:eastAsiaTheme="minorHAnsi" w:hAnsi="Times New Roman"/>
          <w:sz w:val="24"/>
          <w:szCs w:val="24"/>
          <w:lang w:val="ru-RU" w:eastAsia="ru-RU"/>
        </w:rPr>
        <w:t>, представленная в Таблице 1.</w:t>
      </w:r>
    </w:p>
    <w:p w:rsidR="0037767C" w:rsidRPr="001A1B95" w:rsidRDefault="0037767C" w:rsidP="009D0D3E">
      <w:pPr>
        <w:spacing w:before="120" w:after="0" w:line="360" w:lineRule="auto"/>
        <w:jc w:val="right"/>
        <w:rPr>
          <w:rFonts w:ascii="Times New Roman" w:eastAsiaTheme="minorHAnsi" w:hAnsi="Times New Roman"/>
          <w:sz w:val="24"/>
          <w:szCs w:val="24"/>
          <w:lang w:val="ru-RU" w:eastAsia="ru-RU"/>
        </w:rPr>
      </w:pPr>
      <w:r w:rsidRPr="009D0D3E">
        <w:rPr>
          <w:rFonts w:ascii="Times New Roman" w:eastAsiaTheme="minorHAnsi" w:hAnsi="Times New Roman"/>
          <w:b/>
          <w:sz w:val="24"/>
          <w:szCs w:val="24"/>
          <w:lang w:val="ru-RU" w:eastAsia="ru-RU"/>
        </w:rPr>
        <w:t>Таблица 1.</w:t>
      </w:r>
      <w:r>
        <w:rPr>
          <w:rFonts w:ascii="Times New Roman" w:eastAsiaTheme="minorHAnsi" w:hAnsi="Times New Roman"/>
          <w:sz w:val="24"/>
          <w:szCs w:val="24"/>
          <w:lang w:val="ru-RU" w:eastAsia="ru-RU"/>
        </w:rPr>
        <w:t xml:space="preserve"> Система бухгалтерского учета, закрепленная в учетной политике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6"/>
        <w:gridCol w:w="2914"/>
        <w:gridCol w:w="4253"/>
      </w:tblGrid>
      <w:tr w:rsidR="001A1B95" w:rsidRPr="001A1B95" w:rsidTr="0037767C">
        <w:tc>
          <w:tcPr>
            <w:tcW w:w="2756" w:type="dxa"/>
          </w:tcPr>
          <w:p w:rsidR="001A1B95" w:rsidRPr="001A1B95" w:rsidRDefault="0037767C" w:rsidP="009D0D3E">
            <w:pPr>
              <w:spacing w:after="0" w:line="360" w:lineRule="auto"/>
              <w:jc w:val="center"/>
              <w:rPr>
                <w:rFonts w:ascii="Times New Roman" w:eastAsiaTheme="minorHAnsi" w:hAnsi="Times New Roman"/>
                <w:sz w:val="24"/>
                <w:szCs w:val="24"/>
                <w:lang w:val="ru-RU" w:eastAsia="ru-RU"/>
              </w:rPr>
            </w:pPr>
            <w:r>
              <w:rPr>
                <w:rFonts w:ascii="Times New Roman" w:eastAsiaTheme="minorHAnsi" w:hAnsi="Times New Roman"/>
                <w:sz w:val="24"/>
                <w:szCs w:val="24"/>
                <w:lang w:val="ru-RU" w:eastAsia="ru-RU"/>
              </w:rPr>
              <w:t>Бухгалтерская з</w:t>
            </w:r>
            <w:r w:rsidR="001A1B95" w:rsidRPr="001A1B95">
              <w:rPr>
                <w:rFonts w:ascii="Times New Roman" w:eastAsiaTheme="minorHAnsi" w:hAnsi="Times New Roman"/>
                <w:sz w:val="24"/>
                <w:szCs w:val="24"/>
                <w:lang w:val="ru-RU" w:eastAsia="ru-RU"/>
              </w:rPr>
              <w:t>апись</w:t>
            </w:r>
          </w:p>
        </w:tc>
        <w:tc>
          <w:tcPr>
            <w:tcW w:w="2914" w:type="dxa"/>
          </w:tcPr>
          <w:p w:rsidR="001A1B95" w:rsidRDefault="001A1B95" w:rsidP="009D0D3E">
            <w:pPr>
              <w:spacing w:after="0" w:line="360" w:lineRule="auto"/>
              <w:jc w:val="center"/>
              <w:rPr>
                <w:rFonts w:ascii="Times New Roman" w:eastAsiaTheme="minorHAnsi" w:hAnsi="Times New Roman"/>
                <w:sz w:val="24"/>
                <w:szCs w:val="24"/>
                <w:lang w:val="ru-RU" w:eastAsia="ru-RU"/>
              </w:rPr>
            </w:pPr>
            <w:r w:rsidRPr="001A1B95">
              <w:rPr>
                <w:rFonts w:ascii="Times New Roman" w:eastAsiaTheme="minorHAnsi" w:hAnsi="Times New Roman"/>
                <w:sz w:val="24"/>
                <w:szCs w:val="24"/>
                <w:lang w:val="ru-RU" w:eastAsia="ru-RU"/>
              </w:rPr>
              <w:t>Назначение</w:t>
            </w:r>
          </w:p>
          <w:p w:rsidR="0037767C" w:rsidRPr="001A1B95" w:rsidRDefault="0037767C" w:rsidP="009D0D3E">
            <w:pPr>
              <w:spacing w:after="0" w:line="360" w:lineRule="auto"/>
              <w:jc w:val="center"/>
              <w:rPr>
                <w:rFonts w:ascii="Times New Roman" w:eastAsiaTheme="minorHAnsi" w:hAnsi="Times New Roman"/>
                <w:sz w:val="24"/>
                <w:szCs w:val="24"/>
                <w:lang w:val="ru-RU" w:eastAsia="ru-RU"/>
              </w:rPr>
            </w:pPr>
          </w:p>
        </w:tc>
        <w:tc>
          <w:tcPr>
            <w:tcW w:w="4253" w:type="dxa"/>
          </w:tcPr>
          <w:p w:rsidR="001A1B95" w:rsidRPr="001A1B95" w:rsidRDefault="001A1B95" w:rsidP="009D0D3E">
            <w:pPr>
              <w:spacing w:after="0" w:line="360" w:lineRule="auto"/>
              <w:jc w:val="center"/>
              <w:rPr>
                <w:rFonts w:ascii="Times New Roman" w:eastAsiaTheme="minorHAnsi" w:hAnsi="Times New Roman"/>
                <w:sz w:val="24"/>
                <w:szCs w:val="24"/>
                <w:lang w:val="ru-RU" w:eastAsia="ru-RU"/>
              </w:rPr>
            </w:pPr>
            <w:r w:rsidRPr="001A1B95">
              <w:rPr>
                <w:rFonts w:ascii="Times New Roman" w:eastAsiaTheme="minorHAnsi" w:hAnsi="Times New Roman"/>
                <w:sz w:val="24"/>
                <w:szCs w:val="24"/>
                <w:lang w:val="ru-RU" w:eastAsia="ru-RU"/>
              </w:rPr>
              <w:t>Источник информации</w:t>
            </w:r>
          </w:p>
        </w:tc>
      </w:tr>
      <w:tr w:rsidR="001A1B95" w:rsidRPr="001A1B95" w:rsidTr="0037767C">
        <w:tc>
          <w:tcPr>
            <w:tcW w:w="2756" w:type="dxa"/>
          </w:tcPr>
          <w:p w:rsidR="001A1B95" w:rsidRPr="001A1B95" w:rsidRDefault="001A1B95" w:rsidP="009D0D3E">
            <w:pPr>
              <w:spacing w:after="0" w:line="360" w:lineRule="auto"/>
              <w:jc w:val="both"/>
              <w:rPr>
                <w:rFonts w:ascii="Times New Roman" w:eastAsiaTheme="minorHAnsi" w:hAnsi="Times New Roman"/>
                <w:sz w:val="24"/>
                <w:szCs w:val="24"/>
                <w:lang w:val="ru-RU" w:eastAsia="ru-RU"/>
              </w:rPr>
            </w:pPr>
            <w:r w:rsidRPr="001A1B95">
              <w:rPr>
                <w:rFonts w:ascii="Times New Roman" w:eastAsiaTheme="minorHAnsi" w:hAnsi="Times New Roman"/>
                <w:sz w:val="24"/>
                <w:szCs w:val="24"/>
                <w:lang w:val="ru-RU" w:eastAsia="ru-RU"/>
              </w:rPr>
              <w:t>Дт 76.09 Кт  86.02</w:t>
            </w:r>
          </w:p>
        </w:tc>
        <w:tc>
          <w:tcPr>
            <w:tcW w:w="2914" w:type="dxa"/>
          </w:tcPr>
          <w:p w:rsidR="001A1B95" w:rsidRPr="001A1B95" w:rsidRDefault="001A1B95" w:rsidP="009D0D3E">
            <w:pPr>
              <w:spacing w:after="0" w:line="360" w:lineRule="auto"/>
              <w:jc w:val="both"/>
              <w:rPr>
                <w:rFonts w:ascii="Times New Roman" w:eastAsiaTheme="minorHAnsi" w:hAnsi="Times New Roman"/>
                <w:sz w:val="24"/>
                <w:szCs w:val="24"/>
                <w:lang w:val="ru-RU" w:eastAsia="ru-RU"/>
              </w:rPr>
            </w:pPr>
            <w:r w:rsidRPr="001A1B95">
              <w:rPr>
                <w:rFonts w:ascii="Times New Roman" w:eastAsiaTheme="minorHAnsi" w:hAnsi="Times New Roman"/>
                <w:sz w:val="24"/>
                <w:szCs w:val="24"/>
                <w:lang w:val="ru-RU" w:eastAsia="ru-RU"/>
              </w:rPr>
              <w:t>Сумма затрат на строительство объекта</w:t>
            </w:r>
          </w:p>
        </w:tc>
        <w:tc>
          <w:tcPr>
            <w:tcW w:w="4253" w:type="dxa"/>
          </w:tcPr>
          <w:p w:rsidR="001A1B95" w:rsidRPr="001A1B95" w:rsidRDefault="001A1B95" w:rsidP="009D0D3E">
            <w:pPr>
              <w:spacing w:after="0" w:line="360" w:lineRule="auto"/>
              <w:jc w:val="both"/>
              <w:rPr>
                <w:rFonts w:ascii="Times New Roman" w:eastAsiaTheme="minorHAnsi" w:hAnsi="Times New Roman"/>
                <w:sz w:val="24"/>
                <w:szCs w:val="24"/>
                <w:lang w:val="ru-RU" w:eastAsia="ru-RU"/>
              </w:rPr>
            </w:pPr>
            <w:r w:rsidRPr="001A1B95">
              <w:rPr>
                <w:rFonts w:ascii="Times New Roman" w:eastAsiaTheme="minorHAnsi" w:hAnsi="Times New Roman"/>
                <w:sz w:val="24"/>
                <w:szCs w:val="24"/>
                <w:lang w:val="ru-RU" w:eastAsia="ru-RU"/>
              </w:rPr>
              <w:t xml:space="preserve">Договор ДДУ – 95% цены договора </w:t>
            </w:r>
          </w:p>
        </w:tc>
      </w:tr>
      <w:tr w:rsidR="001A1B95" w:rsidRPr="001A1B95" w:rsidTr="0037767C">
        <w:tc>
          <w:tcPr>
            <w:tcW w:w="2756" w:type="dxa"/>
          </w:tcPr>
          <w:p w:rsidR="001A1B95" w:rsidRPr="001A1B95" w:rsidRDefault="001A1B95" w:rsidP="009D0D3E">
            <w:pPr>
              <w:spacing w:after="0" w:line="360" w:lineRule="auto"/>
              <w:jc w:val="both"/>
              <w:rPr>
                <w:rFonts w:ascii="Times New Roman" w:eastAsiaTheme="minorHAnsi" w:hAnsi="Times New Roman"/>
                <w:sz w:val="24"/>
                <w:szCs w:val="24"/>
                <w:lang w:val="ru-RU" w:eastAsia="ru-RU"/>
              </w:rPr>
            </w:pPr>
            <w:r w:rsidRPr="001A1B95">
              <w:rPr>
                <w:rFonts w:ascii="Times New Roman" w:eastAsiaTheme="minorHAnsi" w:hAnsi="Times New Roman"/>
                <w:sz w:val="24"/>
                <w:szCs w:val="24"/>
                <w:lang w:val="ru-RU" w:eastAsia="ru-RU"/>
              </w:rPr>
              <w:t>Дт 76.09 Кт 62.02.Ж</w:t>
            </w:r>
          </w:p>
        </w:tc>
        <w:tc>
          <w:tcPr>
            <w:tcW w:w="2914" w:type="dxa"/>
          </w:tcPr>
          <w:p w:rsidR="001A1B95" w:rsidRPr="001A1B95" w:rsidRDefault="001A1B95" w:rsidP="009D0D3E">
            <w:pPr>
              <w:spacing w:after="0" w:line="360" w:lineRule="auto"/>
              <w:jc w:val="both"/>
              <w:rPr>
                <w:rFonts w:ascii="Times New Roman" w:eastAsiaTheme="minorHAnsi" w:hAnsi="Times New Roman"/>
                <w:sz w:val="24"/>
                <w:szCs w:val="24"/>
                <w:lang w:val="ru-RU" w:eastAsia="ru-RU"/>
              </w:rPr>
            </w:pPr>
            <w:r w:rsidRPr="001A1B95">
              <w:rPr>
                <w:rFonts w:ascii="Times New Roman" w:eastAsiaTheme="minorHAnsi" w:hAnsi="Times New Roman"/>
                <w:sz w:val="24"/>
                <w:szCs w:val="24"/>
                <w:lang w:val="ru-RU" w:eastAsia="ru-RU"/>
              </w:rPr>
              <w:t xml:space="preserve"> Услуги  застройщика</w:t>
            </w:r>
          </w:p>
        </w:tc>
        <w:tc>
          <w:tcPr>
            <w:tcW w:w="4253" w:type="dxa"/>
          </w:tcPr>
          <w:p w:rsidR="001A1B95" w:rsidRPr="001A1B95" w:rsidRDefault="001A1B95" w:rsidP="009D0D3E">
            <w:pPr>
              <w:spacing w:after="0" w:line="360" w:lineRule="auto"/>
              <w:jc w:val="both"/>
              <w:rPr>
                <w:rFonts w:ascii="Times New Roman" w:eastAsiaTheme="minorHAnsi" w:hAnsi="Times New Roman"/>
                <w:sz w:val="24"/>
                <w:szCs w:val="24"/>
                <w:lang w:val="ru-RU" w:eastAsia="ru-RU"/>
              </w:rPr>
            </w:pPr>
            <w:r w:rsidRPr="001A1B95">
              <w:rPr>
                <w:rFonts w:ascii="Times New Roman" w:eastAsiaTheme="minorHAnsi" w:hAnsi="Times New Roman"/>
                <w:sz w:val="24"/>
                <w:szCs w:val="24"/>
                <w:lang w:val="ru-RU" w:eastAsia="ru-RU"/>
              </w:rPr>
              <w:t>Договор ДДУ – 5%</w:t>
            </w:r>
          </w:p>
        </w:tc>
      </w:tr>
      <w:tr w:rsidR="001A1B95" w:rsidRPr="001A1B95" w:rsidTr="0037767C">
        <w:tc>
          <w:tcPr>
            <w:tcW w:w="2756" w:type="dxa"/>
          </w:tcPr>
          <w:p w:rsidR="001A1B95" w:rsidRPr="001A1B95" w:rsidRDefault="001A1B95" w:rsidP="009D0D3E">
            <w:pPr>
              <w:spacing w:after="0" w:line="360" w:lineRule="auto"/>
              <w:jc w:val="both"/>
              <w:rPr>
                <w:rFonts w:ascii="Times New Roman" w:eastAsiaTheme="minorHAnsi" w:hAnsi="Times New Roman"/>
                <w:sz w:val="24"/>
                <w:szCs w:val="24"/>
                <w:lang w:val="ru-RU" w:eastAsia="ru-RU"/>
              </w:rPr>
            </w:pPr>
            <w:r w:rsidRPr="001A1B95">
              <w:rPr>
                <w:rFonts w:ascii="Times New Roman" w:eastAsiaTheme="minorHAnsi" w:hAnsi="Times New Roman"/>
                <w:sz w:val="24"/>
                <w:szCs w:val="24"/>
                <w:lang w:val="ru-RU" w:eastAsia="ru-RU"/>
              </w:rPr>
              <w:t>Дт 51 Кт 76.09</w:t>
            </w:r>
          </w:p>
        </w:tc>
        <w:tc>
          <w:tcPr>
            <w:tcW w:w="2914" w:type="dxa"/>
          </w:tcPr>
          <w:p w:rsidR="001A1B95" w:rsidRPr="001A1B95" w:rsidRDefault="001A1B95" w:rsidP="009D0D3E">
            <w:pPr>
              <w:spacing w:after="0" w:line="360" w:lineRule="auto"/>
              <w:jc w:val="both"/>
              <w:rPr>
                <w:rFonts w:ascii="Times New Roman" w:eastAsiaTheme="minorHAnsi" w:hAnsi="Times New Roman"/>
                <w:sz w:val="24"/>
                <w:szCs w:val="24"/>
                <w:lang w:val="ru-RU" w:eastAsia="ru-RU"/>
              </w:rPr>
            </w:pPr>
            <w:r w:rsidRPr="001A1B95">
              <w:rPr>
                <w:rFonts w:ascii="Times New Roman" w:eastAsiaTheme="minorHAnsi" w:hAnsi="Times New Roman"/>
                <w:sz w:val="24"/>
                <w:szCs w:val="24"/>
                <w:lang w:val="ru-RU" w:eastAsia="ru-RU"/>
              </w:rPr>
              <w:t>Финансирование дольщиками затрат на строительство</w:t>
            </w:r>
          </w:p>
        </w:tc>
        <w:tc>
          <w:tcPr>
            <w:tcW w:w="4253" w:type="dxa"/>
          </w:tcPr>
          <w:p w:rsidR="001A1B95" w:rsidRPr="001A1B95" w:rsidRDefault="001A1B95" w:rsidP="009D0D3E">
            <w:pPr>
              <w:spacing w:after="0" w:line="360" w:lineRule="auto"/>
              <w:jc w:val="both"/>
              <w:rPr>
                <w:rFonts w:ascii="Times New Roman" w:eastAsiaTheme="minorHAnsi" w:hAnsi="Times New Roman"/>
                <w:sz w:val="24"/>
                <w:szCs w:val="24"/>
                <w:lang w:val="ru-RU" w:eastAsia="ru-RU"/>
              </w:rPr>
            </w:pPr>
            <w:r w:rsidRPr="001A1B95">
              <w:rPr>
                <w:rFonts w:ascii="Times New Roman" w:eastAsiaTheme="minorHAnsi" w:hAnsi="Times New Roman"/>
                <w:sz w:val="24"/>
                <w:szCs w:val="24"/>
                <w:lang w:val="ru-RU" w:eastAsia="ru-RU"/>
              </w:rPr>
              <w:t xml:space="preserve"> Оплата по ДДУ 100%</w:t>
            </w:r>
          </w:p>
        </w:tc>
      </w:tr>
      <w:tr w:rsidR="001A1B95" w:rsidRPr="00823B70" w:rsidTr="0037767C">
        <w:tc>
          <w:tcPr>
            <w:tcW w:w="2756" w:type="dxa"/>
          </w:tcPr>
          <w:p w:rsidR="001A1B95" w:rsidRPr="001A1B95" w:rsidRDefault="001A1B95" w:rsidP="009D0D3E">
            <w:pPr>
              <w:spacing w:after="0" w:line="360" w:lineRule="auto"/>
              <w:jc w:val="both"/>
              <w:rPr>
                <w:rFonts w:ascii="Times New Roman" w:eastAsiaTheme="minorHAnsi" w:hAnsi="Times New Roman"/>
                <w:sz w:val="24"/>
                <w:szCs w:val="24"/>
                <w:lang w:val="ru-RU" w:eastAsia="ru-RU"/>
              </w:rPr>
            </w:pPr>
            <w:r w:rsidRPr="001A1B95">
              <w:rPr>
                <w:rFonts w:ascii="Times New Roman" w:eastAsiaTheme="minorHAnsi" w:hAnsi="Times New Roman"/>
                <w:sz w:val="24"/>
                <w:szCs w:val="24"/>
                <w:lang w:val="ru-RU" w:eastAsia="ru-RU"/>
              </w:rPr>
              <w:t>Дт 08.Ж Кт 60</w:t>
            </w:r>
          </w:p>
        </w:tc>
        <w:tc>
          <w:tcPr>
            <w:tcW w:w="2914" w:type="dxa"/>
          </w:tcPr>
          <w:p w:rsidR="001A1B95" w:rsidRPr="001A1B95" w:rsidRDefault="001A1B95" w:rsidP="009D0D3E">
            <w:pPr>
              <w:spacing w:after="0" w:line="360" w:lineRule="auto"/>
              <w:jc w:val="both"/>
              <w:rPr>
                <w:rFonts w:ascii="Times New Roman" w:eastAsiaTheme="minorHAnsi" w:hAnsi="Times New Roman"/>
                <w:sz w:val="24"/>
                <w:szCs w:val="24"/>
                <w:lang w:val="ru-RU" w:eastAsia="ru-RU"/>
              </w:rPr>
            </w:pPr>
            <w:r w:rsidRPr="001A1B95">
              <w:rPr>
                <w:rFonts w:ascii="Times New Roman" w:eastAsiaTheme="minorHAnsi" w:hAnsi="Times New Roman"/>
                <w:sz w:val="24"/>
                <w:szCs w:val="24"/>
                <w:lang w:val="ru-RU" w:eastAsia="ru-RU"/>
              </w:rPr>
              <w:t xml:space="preserve">Накопление расходов  на строительство МКД </w:t>
            </w:r>
          </w:p>
        </w:tc>
        <w:tc>
          <w:tcPr>
            <w:tcW w:w="4253" w:type="dxa"/>
          </w:tcPr>
          <w:p w:rsidR="001A1B95" w:rsidRPr="001A1B95" w:rsidRDefault="001A1B95" w:rsidP="009D0D3E">
            <w:pPr>
              <w:spacing w:after="0" w:line="360" w:lineRule="auto"/>
              <w:jc w:val="both"/>
              <w:rPr>
                <w:rFonts w:ascii="Times New Roman" w:eastAsiaTheme="minorHAnsi" w:hAnsi="Times New Roman"/>
                <w:sz w:val="24"/>
                <w:szCs w:val="24"/>
                <w:lang w:val="ru-RU" w:eastAsia="ru-RU"/>
              </w:rPr>
            </w:pPr>
            <w:r w:rsidRPr="001A1B95">
              <w:rPr>
                <w:rFonts w:ascii="Times New Roman" w:eastAsiaTheme="minorHAnsi" w:hAnsi="Times New Roman"/>
                <w:sz w:val="24"/>
                <w:szCs w:val="24"/>
                <w:lang w:val="ru-RU" w:eastAsia="ru-RU"/>
              </w:rPr>
              <w:t xml:space="preserve"> На основании КС-2, Кс-3 ген. подрядчика</w:t>
            </w:r>
          </w:p>
        </w:tc>
      </w:tr>
      <w:tr w:rsidR="001A1B95" w:rsidRPr="001A1B95" w:rsidTr="0037767C">
        <w:tc>
          <w:tcPr>
            <w:tcW w:w="2756" w:type="dxa"/>
          </w:tcPr>
          <w:p w:rsidR="001A1B95" w:rsidRPr="001A1B95" w:rsidRDefault="001A1B95" w:rsidP="009D0D3E">
            <w:pPr>
              <w:spacing w:after="0" w:line="360" w:lineRule="auto"/>
              <w:jc w:val="both"/>
              <w:rPr>
                <w:rFonts w:ascii="Times New Roman" w:eastAsiaTheme="minorHAnsi" w:hAnsi="Times New Roman"/>
                <w:sz w:val="24"/>
                <w:szCs w:val="24"/>
                <w:lang w:val="ru-RU" w:eastAsia="ru-RU"/>
              </w:rPr>
            </w:pPr>
            <w:r w:rsidRPr="001A1B95">
              <w:rPr>
                <w:rFonts w:ascii="Times New Roman" w:eastAsiaTheme="minorHAnsi" w:hAnsi="Times New Roman"/>
                <w:sz w:val="24"/>
                <w:szCs w:val="24"/>
                <w:lang w:val="ru-RU" w:eastAsia="ru-RU"/>
              </w:rPr>
              <w:t>Дт 08.</w:t>
            </w:r>
            <w:proofErr w:type="gramStart"/>
            <w:r w:rsidRPr="001A1B95">
              <w:rPr>
                <w:rFonts w:ascii="Times New Roman" w:eastAsiaTheme="minorHAnsi" w:hAnsi="Times New Roman"/>
                <w:sz w:val="24"/>
                <w:szCs w:val="24"/>
                <w:lang w:val="ru-RU" w:eastAsia="ru-RU"/>
              </w:rPr>
              <w:t>З</w:t>
            </w:r>
            <w:proofErr w:type="gramEnd"/>
            <w:r w:rsidRPr="001A1B95">
              <w:rPr>
                <w:rFonts w:ascii="Times New Roman" w:eastAsiaTheme="minorHAnsi" w:hAnsi="Times New Roman"/>
                <w:sz w:val="24"/>
                <w:szCs w:val="24"/>
                <w:lang w:val="ru-RU" w:eastAsia="ru-RU"/>
              </w:rPr>
              <w:t xml:space="preserve"> Кт ////</w:t>
            </w:r>
          </w:p>
        </w:tc>
        <w:tc>
          <w:tcPr>
            <w:tcW w:w="2914" w:type="dxa"/>
          </w:tcPr>
          <w:p w:rsidR="001A1B95" w:rsidRPr="001A1B95" w:rsidRDefault="001A1B95" w:rsidP="009D0D3E">
            <w:pPr>
              <w:spacing w:after="0" w:line="360" w:lineRule="auto"/>
              <w:jc w:val="both"/>
              <w:rPr>
                <w:rFonts w:ascii="Times New Roman" w:eastAsiaTheme="minorHAnsi" w:hAnsi="Times New Roman"/>
                <w:sz w:val="24"/>
                <w:szCs w:val="24"/>
                <w:lang w:val="ru-RU" w:eastAsia="ru-RU"/>
              </w:rPr>
            </w:pPr>
            <w:r w:rsidRPr="001A1B95">
              <w:rPr>
                <w:rFonts w:ascii="Times New Roman" w:eastAsiaTheme="minorHAnsi" w:hAnsi="Times New Roman"/>
                <w:sz w:val="24"/>
                <w:szCs w:val="24"/>
                <w:lang w:val="ru-RU" w:eastAsia="ru-RU"/>
              </w:rPr>
              <w:t>Нак</w:t>
            </w:r>
            <w:r w:rsidR="0037767C">
              <w:rPr>
                <w:rFonts w:ascii="Times New Roman" w:eastAsiaTheme="minorHAnsi" w:hAnsi="Times New Roman"/>
                <w:sz w:val="24"/>
                <w:szCs w:val="24"/>
                <w:lang w:val="ru-RU" w:eastAsia="ru-RU"/>
              </w:rPr>
              <w:t>опление расходов на содержание з</w:t>
            </w:r>
            <w:r w:rsidRPr="001A1B95">
              <w:rPr>
                <w:rFonts w:ascii="Times New Roman" w:eastAsiaTheme="minorHAnsi" w:hAnsi="Times New Roman"/>
                <w:sz w:val="24"/>
                <w:szCs w:val="24"/>
                <w:lang w:val="ru-RU" w:eastAsia="ru-RU"/>
              </w:rPr>
              <w:t>астройщика</w:t>
            </w:r>
          </w:p>
        </w:tc>
        <w:tc>
          <w:tcPr>
            <w:tcW w:w="4253" w:type="dxa"/>
          </w:tcPr>
          <w:p w:rsidR="001A1B95" w:rsidRPr="001A1B95" w:rsidRDefault="001A1B95" w:rsidP="009D0D3E">
            <w:pPr>
              <w:spacing w:after="0" w:line="360" w:lineRule="auto"/>
              <w:jc w:val="both"/>
              <w:rPr>
                <w:rFonts w:ascii="Times New Roman" w:eastAsiaTheme="minorHAnsi" w:hAnsi="Times New Roman"/>
                <w:sz w:val="24"/>
                <w:szCs w:val="24"/>
                <w:lang w:val="ru-RU" w:eastAsia="ru-RU"/>
              </w:rPr>
            </w:pPr>
            <w:r w:rsidRPr="001A1B95">
              <w:rPr>
                <w:rFonts w:ascii="Times New Roman" w:eastAsiaTheme="minorHAnsi" w:hAnsi="Times New Roman"/>
                <w:sz w:val="24"/>
                <w:szCs w:val="24"/>
                <w:lang w:val="ru-RU" w:eastAsia="ru-RU"/>
              </w:rPr>
              <w:t>Первичные документы</w:t>
            </w:r>
          </w:p>
        </w:tc>
      </w:tr>
    </w:tbl>
    <w:p w:rsidR="001A1B95" w:rsidRPr="001A1B95" w:rsidRDefault="001A1B95" w:rsidP="009D0D3E">
      <w:pPr>
        <w:spacing w:after="0" w:line="360" w:lineRule="auto"/>
        <w:jc w:val="both"/>
        <w:rPr>
          <w:rFonts w:ascii="Times New Roman" w:eastAsiaTheme="minorHAnsi" w:hAnsi="Times New Roman"/>
          <w:sz w:val="24"/>
          <w:szCs w:val="24"/>
          <w:lang w:val="ru-RU" w:eastAsia="ru-RU"/>
        </w:rPr>
      </w:pPr>
    </w:p>
    <w:p w:rsidR="001A1B95" w:rsidRPr="001A1B95" w:rsidRDefault="001A1B95" w:rsidP="009D0D3E">
      <w:pPr>
        <w:spacing w:after="0" w:line="360" w:lineRule="auto"/>
        <w:jc w:val="both"/>
        <w:rPr>
          <w:rFonts w:ascii="Times New Roman" w:eastAsiaTheme="minorHAnsi" w:hAnsi="Times New Roman"/>
          <w:sz w:val="24"/>
          <w:szCs w:val="24"/>
          <w:lang w:val="ru-RU" w:eastAsia="ru-RU"/>
        </w:rPr>
      </w:pPr>
      <w:r w:rsidRPr="001A1B95">
        <w:rPr>
          <w:rFonts w:ascii="Times New Roman" w:eastAsiaTheme="minorHAnsi" w:hAnsi="Times New Roman"/>
          <w:sz w:val="24"/>
          <w:szCs w:val="24"/>
          <w:lang w:val="ru-RU" w:eastAsia="ru-RU"/>
        </w:rPr>
        <w:t xml:space="preserve">В бухгалтерском балансе затраты на строительство </w:t>
      </w:r>
      <w:r w:rsidR="0037767C">
        <w:rPr>
          <w:rFonts w:ascii="Times New Roman" w:eastAsiaTheme="minorHAnsi" w:hAnsi="Times New Roman"/>
          <w:sz w:val="24"/>
          <w:szCs w:val="24"/>
          <w:lang w:val="ru-RU" w:eastAsia="ru-RU"/>
        </w:rPr>
        <w:t>и содержание службы з</w:t>
      </w:r>
      <w:r w:rsidRPr="001A1B95">
        <w:rPr>
          <w:rFonts w:ascii="Times New Roman" w:eastAsiaTheme="minorHAnsi" w:hAnsi="Times New Roman"/>
          <w:sz w:val="24"/>
          <w:szCs w:val="24"/>
          <w:lang w:val="ru-RU" w:eastAsia="ru-RU"/>
        </w:rPr>
        <w:t xml:space="preserve">астройщика отражены в оборотных активах по группе «Запасы»  </w:t>
      </w:r>
      <w:r w:rsidR="0037767C">
        <w:rPr>
          <w:rFonts w:ascii="Times New Roman" w:eastAsiaTheme="minorHAnsi" w:hAnsi="Times New Roman"/>
          <w:sz w:val="24"/>
          <w:szCs w:val="24"/>
          <w:lang w:val="ru-RU" w:eastAsia="ru-RU"/>
        </w:rPr>
        <w:t>статьи</w:t>
      </w:r>
      <w:r w:rsidRPr="001A1B95">
        <w:rPr>
          <w:rFonts w:ascii="Times New Roman" w:eastAsiaTheme="minorHAnsi" w:hAnsi="Times New Roman"/>
          <w:sz w:val="24"/>
          <w:szCs w:val="24"/>
          <w:lang w:val="ru-RU" w:eastAsia="ru-RU"/>
        </w:rPr>
        <w:t xml:space="preserve"> </w:t>
      </w:r>
      <w:r w:rsidR="0037767C">
        <w:rPr>
          <w:rFonts w:ascii="Times New Roman" w:eastAsiaTheme="minorHAnsi" w:hAnsi="Times New Roman"/>
          <w:sz w:val="24"/>
          <w:szCs w:val="24"/>
          <w:lang w:val="ru-RU" w:eastAsia="ru-RU"/>
        </w:rPr>
        <w:t xml:space="preserve">«Основное производство», </w:t>
      </w:r>
      <w:r w:rsidRPr="001A1B95">
        <w:rPr>
          <w:rFonts w:ascii="Times New Roman" w:eastAsiaTheme="minorHAnsi" w:hAnsi="Times New Roman"/>
          <w:sz w:val="24"/>
          <w:szCs w:val="24"/>
          <w:lang w:val="ru-RU" w:eastAsia="ru-RU"/>
        </w:rPr>
        <w:t>в т.ч. строка «Незавершенное строительство,  объект долевого строительства».</w:t>
      </w:r>
    </w:p>
    <w:p w:rsidR="0037767C" w:rsidRDefault="001A1B95" w:rsidP="007F710D">
      <w:pPr>
        <w:spacing w:before="120" w:after="0" w:line="360" w:lineRule="auto"/>
        <w:jc w:val="both"/>
        <w:rPr>
          <w:rFonts w:ascii="Times New Roman" w:eastAsiaTheme="minorHAnsi" w:hAnsi="Times New Roman"/>
          <w:sz w:val="24"/>
          <w:szCs w:val="24"/>
          <w:lang w:val="ru-RU" w:eastAsia="ru-RU"/>
        </w:rPr>
      </w:pPr>
      <w:r w:rsidRPr="001A1B95">
        <w:rPr>
          <w:rFonts w:ascii="Times New Roman" w:eastAsiaTheme="minorHAnsi" w:hAnsi="Times New Roman"/>
          <w:sz w:val="24"/>
          <w:szCs w:val="24"/>
          <w:lang w:val="ru-RU" w:eastAsia="ru-RU"/>
        </w:rPr>
        <w:t>Денежные средства Участников ДДУ в части финансирования строительства отражены в разделе «Краткосрочные обязательства» в составе группы «Кредиторская задолженность» с выделением статьи «Обязательства по договорам участия в долевом строительстве».</w:t>
      </w:r>
    </w:p>
    <w:p w:rsidR="001A1B95" w:rsidRPr="001A1B95" w:rsidRDefault="001A1B95" w:rsidP="007F710D">
      <w:pPr>
        <w:spacing w:before="120" w:after="0" w:line="360" w:lineRule="auto"/>
        <w:jc w:val="both"/>
        <w:rPr>
          <w:rFonts w:ascii="Times New Roman" w:eastAsiaTheme="minorHAnsi" w:hAnsi="Times New Roman"/>
          <w:sz w:val="24"/>
          <w:szCs w:val="24"/>
          <w:lang w:val="ru-RU" w:eastAsia="ru-RU"/>
        </w:rPr>
      </w:pPr>
      <w:r w:rsidRPr="001A1B95">
        <w:rPr>
          <w:rFonts w:ascii="Times New Roman" w:eastAsiaTheme="minorHAnsi" w:hAnsi="Times New Roman"/>
          <w:sz w:val="24"/>
          <w:szCs w:val="24"/>
          <w:lang w:val="ru-RU" w:eastAsia="ru-RU"/>
        </w:rPr>
        <w:t xml:space="preserve">Выручка для целей бухгалтерского учета </w:t>
      </w:r>
      <w:r w:rsidR="0037767C">
        <w:rPr>
          <w:rFonts w:ascii="Times New Roman" w:eastAsiaTheme="minorHAnsi" w:hAnsi="Times New Roman"/>
          <w:sz w:val="24"/>
          <w:szCs w:val="24"/>
          <w:lang w:val="ru-RU" w:eastAsia="ru-RU"/>
        </w:rPr>
        <w:t xml:space="preserve">определяется </w:t>
      </w:r>
      <w:r w:rsidRPr="001A1B95">
        <w:rPr>
          <w:rFonts w:ascii="Times New Roman" w:eastAsiaTheme="minorHAnsi" w:hAnsi="Times New Roman"/>
          <w:sz w:val="24"/>
          <w:szCs w:val="24"/>
          <w:lang w:val="ru-RU" w:eastAsia="ru-RU"/>
        </w:rPr>
        <w:t>дважды:</w:t>
      </w:r>
    </w:p>
    <w:p w:rsidR="001A1B95" w:rsidRPr="0037767C" w:rsidRDefault="001A1B95" w:rsidP="009D0D3E">
      <w:pPr>
        <w:pStyle w:val="ac"/>
        <w:numPr>
          <w:ilvl w:val="0"/>
          <w:numId w:val="24"/>
        </w:numPr>
        <w:spacing w:after="0" w:line="360" w:lineRule="auto"/>
        <w:jc w:val="both"/>
        <w:rPr>
          <w:rFonts w:ascii="Times New Roman" w:hAnsi="Times New Roman"/>
          <w:sz w:val="24"/>
          <w:szCs w:val="24"/>
          <w:lang w:eastAsia="ru-RU"/>
        </w:rPr>
      </w:pPr>
      <w:r w:rsidRPr="0037767C">
        <w:rPr>
          <w:rFonts w:ascii="Times New Roman" w:hAnsi="Times New Roman"/>
          <w:sz w:val="24"/>
          <w:szCs w:val="24"/>
          <w:lang w:eastAsia="ru-RU"/>
        </w:rPr>
        <w:t>на дату разрешения на ввод МКД в эксплуатацию в размере процент</w:t>
      </w:r>
      <w:r w:rsidR="0037767C">
        <w:rPr>
          <w:rFonts w:ascii="Times New Roman" w:hAnsi="Times New Roman"/>
          <w:sz w:val="24"/>
          <w:szCs w:val="24"/>
          <w:lang w:eastAsia="ru-RU"/>
        </w:rPr>
        <w:t>а, определенного в договоре ДДУ;</w:t>
      </w:r>
    </w:p>
    <w:p w:rsidR="001A1B95" w:rsidRPr="0037767C" w:rsidRDefault="001A1B95" w:rsidP="009D0D3E">
      <w:pPr>
        <w:pStyle w:val="ac"/>
        <w:numPr>
          <w:ilvl w:val="0"/>
          <w:numId w:val="24"/>
        </w:numPr>
        <w:spacing w:after="0" w:line="360" w:lineRule="auto"/>
        <w:jc w:val="both"/>
        <w:rPr>
          <w:rFonts w:ascii="Times New Roman" w:hAnsi="Times New Roman"/>
          <w:sz w:val="24"/>
          <w:szCs w:val="24"/>
          <w:lang w:eastAsia="ru-RU"/>
        </w:rPr>
      </w:pPr>
      <w:r w:rsidRPr="0037767C">
        <w:rPr>
          <w:rFonts w:ascii="Times New Roman" w:hAnsi="Times New Roman"/>
          <w:sz w:val="24"/>
          <w:szCs w:val="24"/>
          <w:lang w:eastAsia="ru-RU"/>
        </w:rPr>
        <w:t>на дату  передаточного акта в размере экономии от строительства.</w:t>
      </w:r>
    </w:p>
    <w:p w:rsidR="0037767C" w:rsidRPr="0037767C" w:rsidRDefault="0037767C" w:rsidP="007F710D">
      <w:pPr>
        <w:shd w:val="clear" w:color="auto" w:fill="FFFFFF"/>
        <w:spacing w:before="120" w:after="0" w:line="360" w:lineRule="auto"/>
        <w:jc w:val="both"/>
        <w:rPr>
          <w:rFonts w:ascii="Times New Roman" w:hAnsi="Times New Roman"/>
          <w:sz w:val="24"/>
          <w:szCs w:val="24"/>
          <w:lang w:val="ru-RU" w:eastAsia="ru-RU"/>
        </w:rPr>
      </w:pPr>
      <w:r w:rsidRPr="0037767C">
        <w:rPr>
          <w:rFonts w:ascii="Times New Roman" w:hAnsi="Times New Roman"/>
          <w:sz w:val="24"/>
          <w:szCs w:val="24"/>
          <w:lang w:val="ru-RU" w:eastAsia="ru-RU"/>
        </w:rPr>
        <w:t xml:space="preserve">В этой связи возникают следующие вопросы: </w:t>
      </w:r>
    </w:p>
    <w:p w:rsidR="0037767C" w:rsidRPr="0037767C" w:rsidRDefault="0037767C" w:rsidP="009D0D3E">
      <w:pPr>
        <w:pStyle w:val="ac"/>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с</w:t>
      </w:r>
      <w:r w:rsidRPr="0037767C">
        <w:rPr>
          <w:rFonts w:ascii="Times New Roman" w:hAnsi="Times New Roman" w:cs="Times New Roman"/>
          <w:sz w:val="24"/>
          <w:szCs w:val="24"/>
        </w:rPr>
        <w:t>уществует ли</w:t>
      </w:r>
      <w:r>
        <w:rPr>
          <w:rFonts w:ascii="Times New Roman" w:hAnsi="Times New Roman" w:cs="Times New Roman"/>
          <w:sz w:val="24"/>
          <w:szCs w:val="24"/>
        </w:rPr>
        <w:t xml:space="preserve"> у з</w:t>
      </w:r>
      <w:r w:rsidRPr="0037767C">
        <w:rPr>
          <w:rFonts w:ascii="Times New Roman" w:hAnsi="Times New Roman" w:cs="Times New Roman"/>
          <w:sz w:val="24"/>
          <w:szCs w:val="24"/>
        </w:rPr>
        <w:t xml:space="preserve">астройщика  риски искажения бухгалтерской отчетности? </w:t>
      </w:r>
      <w:r>
        <w:rPr>
          <w:rFonts w:ascii="Times New Roman" w:hAnsi="Times New Roman" w:cs="Times New Roman"/>
          <w:sz w:val="24"/>
          <w:szCs w:val="24"/>
        </w:rPr>
        <w:t>Если данные риски существуют, то какие и почему?</w:t>
      </w:r>
    </w:p>
    <w:p w:rsidR="0037767C" w:rsidRPr="0037767C" w:rsidRDefault="0037767C" w:rsidP="009D0D3E">
      <w:pPr>
        <w:pStyle w:val="ac"/>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каковы в</w:t>
      </w:r>
      <w:r w:rsidRPr="0037767C">
        <w:rPr>
          <w:rFonts w:ascii="Times New Roman" w:hAnsi="Times New Roman" w:cs="Times New Roman"/>
          <w:sz w:val="24"/>
          <w:szCs w:val="24"/>
        </w:rPr>
        <w:t>озможные рекомендации по учету деятельности и принципы форм</w:t>
      </w:r>
      <w:r>
        <w:rPr>
          <w:rFonts w:ascii="Times New Roman" w:hAnsi="Times New Roman" w:cs="Times New Roman"/>
          <w:sz w:val="24"/>
          <w:szCs w:val="24"/>
        </w:rPr>
        <w:t>ировании отчетности з</w:t>
      </w:r>
      <w:r w:rsidRPr="0037767C">
        <w:rPr>
          <w:rFonts w:ascii="Times New Roman" w:hAnsi="Times New Roman" w:cs="Times New Roman"/>
          <w:sz w:val="24"/>
          <w:szCs w:val="24"/>
        </w:rPr>
        <w:t>астройщика</w:t>
      </w:r>
      <w:r>
        <w:rPr>
          <w:rFonts w:ascii="Times New Roman" w:hAnsi="Times New Roman" w:cs="Times New Roman"/>
          <w:sz w:val="24"/>
          <w:szCs w:val="24"/>
        </w:rPr>
        <w:t>?</w:t>
      </w:r>
    </w:p>
    <w:p w:rsidR="00044EE6" w:rsidRPr="009F0CAC" w:rsidRDefault="006F715B" w:rsidP="007F710D">
      <w:pPr>
        <w:shd w:val="clear" w:color="auto" w:fill="FFFFFF"/>
        <w:spacing w:after="0" w:line="360" w:lineRule="auto"/>
        <w:jc w:val="both"/>
        <w:rPr>
          <w:b/>
          <w:color w:val="C00000"/>
          <w:sz w:val="24"/>
          <w:szCs w:val="24"/>
          <w:lang w:val="ru-RU"/>
        </w:rPr>
      </w:pPr>
      <w:r>
        <w:rPr>
          <w:b/>
          <w:color w:val="C00000"/>
          <w:sz w:val="24"/>
          <w:szCs w:val="24"/>
          <w:lang w:val="ru-RU"/>
        </w:rPr>
        <w:t>РЕШЕНИЕ</w:t>
      </w:r>
      <w:bookmarkStart w:id="1" w:name="_GoBack"/>
      <w:bookmarkEnd w:id="1"/>
      <w:r w:rsidR="00770D37">
        <w:rPr>
          <w:b/>
          <w:color w:val="C00000"/>
          <w:sz w:val="24"/>
          <w:szCs w:val="24"/>
          <w:lang w:val="ru-RU"/>
        </w:rPr>
        <w:t>:</w:t>
      </w:r>
    </w:p>
    <w:p w:rsidR="00023FD9"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 xml:space="preserve">Среди </w:t>
      </w:r>
      <w:r w:rsidR="00023FD9">
        <w:rPr>
          <w:rFonts w:ascii="Times New Roman" w:hAnsi="Times New Roman"/>
          <w:sz w:val="24"/>
          <w:szCs w:val="24"/>
          <w:lang w:val="ru-RU"/>
        </w:rPr>
        <w:t xml:space="preserve">российских </w:t>
      </w:r>
      <w:r>
        <w:rPr>
          <w:rFonts w:ascii="Times New Roman" w:hAnsi="Times New Roman"/>
          <w:sz w:val="24"/>
          <w:szCs w:val="24"/>
          <w:lang w:val="ru-RU"/>
        </w:rPr>
        <w:t>нормативно-</w:t>
      </w:r>
      <w:r w:rsidR="00023FD9">
        <w:rPr>
          <w:rFonts w:ascii="Times New Roman" w:hAnsi="Times New Roman"/>
          <w:sz w:val="24"/>
          <w:szCs w:val="24"/>
          <w:lang w:val="ru-RU"/>
        </w:rPr>
        <w:t xml:space="preserve">правовых актов </w:t>
      </w:r>
      <w:r w:rsidRPr="009F0CAC">
        <w:rPr>
          <w:rFonts w:ascii="Times New Roman" w:hAnsi="Times New Roman"/>
          <w:sz w:val="24"/>
          <w:szCs w:val="24"/>
          <w:lang w:val="ru-RU"/>
        </w:rPr>
        <w:t xml:space="preserve">по бухгалтерскому учету отсутствуют документы, непосредственно относящиеся к описанной ситуации. </w:t>
      </w:r>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 xml:space="preserve">Вместе с тем в данном случае </w:t>
      </w:r>
      <w:r w:rsidR="00023FD9">
        <w:rPr>
          <w:rFonts w:ascii="Times New Roman" w:hAnsi="Times New Roman"/>
          <w:sz w:val="24"/>
          <w:szCs w:val="24"/>
          <w:lang w:val="ru-RU"/>
        </w:rPr>
        <w:t>можно считать применимым</w:t>
      </w:r>
      <w:r w:rsidRPr="009F0CAC">
        <w:rPr>
          <w:rFonts w:ascii="Times New Roman" w:hAnsi="Times New Roman"/>
          <w:sz w:val="24"/>
          <w:szCs w:val="24"/>
          <w:lang w:val="ru-RU"/>
        </w:rPr>
        <w:t xml:space="preserve"> Положение по бухгалтерскому учету «Учет договоров строительного подряда» ПБУ 2/2008</w:t>
      </w:r>
      <w:r w:rsidR="00023FD9">
        <w:rPr>
          <w:rFonts w:ascii="Times New Roman" w:hAnsi="Times New Roman"/>
          <w:sz w:val="24"/>
          <w:szCs w:val="24"/>
          <w:lang w:val="ru-RU"/>
        </w:rPr>
        <w:t xml:space="preserve"> (далее – ПБУ </w:t>
      </w:r>
      <w:r w:rsidR="00023FD9" w:rsidRPr="009F0CAC">
        <w:rPr>
          <w:rFonts w:ascii="Times New Roman" w:hAnsi="Times New Roman"/>
          <w:sz w:val="24"/>
          <w:szCs w:val="24"/>
          <w:lang w:val="ru-RU"/>
        </w:rPr>
        <w:t>2/2008</w:t>
      </w:r>
      <w:r w:rsidR="00023FD9">
        <w:rPr>
          <w:rFonts w:ascii="Times New Roman" w:hAnsi="Times New Roman"/>
          <w:sz w:val="24"/>
          <w:szCs w:val="24"/>
          <w:lang w:val="ru-RU"/>
        </w:rPr>
        <w:t>)</w:t>
      </w:r>
      <w:r w:rsidRPr="009F0CAC">
        <w:rPr>
          <w:rFonts w:ascii="Times New Roman" w:hAnsi="Times New Roman"/>
          <w:sz w:val="24"/>
          <w:szCs w:val="24"/>
          <w:lang w:val="ru-RU"/>
        </w:rPr>
        <w:t>.</w:t>
      </w:r>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Исходя из пункта 1 ПБУ</w:t>
      </w:r>
      <w:r w:rsidRPr="009F0CAC">
        <w:rPr>
          <w:rFonts w:ascii="Times New Roman" w:hAnsi="Times New Roman"/>
          <w:sz w:val="24"/>
          <w:szCs w:val="24"/>
        </w:rPr>
        <w:t> </w:t>
      </w:r>
      <w:r w:rsidRPr="009F0CAC">
        <w:rPr>
          <w:rFonts w:ascii="Times New Roman" w:hAnsi="Times New Roman"/>
          <w:sz w:val="24"/>
          <w:szCs w:val="24"/>
          <w:lang w:val="ru-RU"/>
        </w:rPr>
        <w:t>2/2008</w:t>
      </w:r>
      <w:r w:rsidR="00023FD9">
        <w:rPr>
          <w:rFonts w:ascii="Times New Roman" w:hAnsi="Times New Roman"/>
          <w:sz w:val="24"/>
          <w:szCs w:val="24"/>
          <w:lang w:val="ru-RU"/>
        </w:rPr>
        <w:t>,</w:t>
      </w:r>
      <w:r w:rsidRPr="009F0CAC">
        <w:rPr>
          <w:rFonts w:ascii="Times New Roman" w:hAnsi="Times New Roman"/>
          <w:sz w:val="24"/>
          <w:szCs w:val="24"/>
          <w:lang w:val="ru-RU"/>
        </w:rPr>
        <w:t xml:space="preserve"> данное Положение напрямую не предназначено</w:t>
      </w:r>
      <w:r w:rsidR="00023FD9">
        <w:rPr>
          <w:rFonts w:ascii="Times New Roman" w:hAnsi="Times New Roman"/>
          <w:sz w:val="24"/>
          <w:szCs w:val="24"/>
          <w:lang w:val="ru-RU"/>
        </w:rPr>
        <w:t xml:space="preserve"> </w:t>
      </w:r>
      <w:r w:rsidR="00023FD9" w:rsidRPr="009F0CAC">
        <w:rPr>
          <w:rFonts w:ascii="Times New Roman" w:hAnsi="Times New Roman"/>
          <w:sz w:val="24"/>
          <w:szCs w:val="24"/>
          <w:lang w:val="ru-RU"/>
        </w:rPr>
        <w:t>для застройщиков</w:t>
      </w:r>
      <w:r w:rsidR="00023FD9">
        <w:rPr>
          <w:rFonts w:ascii="Times New Roman" w:hAnsi="Times New Roman"/>
          <w:sz w:val="24"/>
          <w:szCs w:val="24"/>
          <w:lang w:val="ru-RU"/>
        </w:rPr>
        <w:t>. Вместе с тем, согласно пункту</w:t>
      </w:r>
      <w:r w:rsidRPr="009F0CAC">
        <w:rPr>
          <w:rFonts w:ascii="Times New Roman" w:hAnsi="Times New Roman"/>
          <w:sz w:val="24"/>
          <w:szCs w:val="24"/>
          <w:lang w:val="ru-RU"/>
        </w:rPr>
        <w:t xml:space="preserve"> 2 ПБУ</w:t>
      </w:r>
      <w:r w:rsidRPr="009F0CAC">
        <w:rPr>
          <w:rFonts w:ascii="Times New Roman" w:hAnsi="Times New Roman"/>
          <w:sz w:val="24"/>
          <w:szCs w:val="24"/>
        </w:rPr>
        <w:t> </w:t>
      </w:r>
      <w:r w:rsidRPr="009F0CAC">
        <w:rPr>
          <w:rFonts w:ascii="Times New Roman" w:hAnsi="Times New Roman"/>
          <w:sz w:val="24"/>
          <w:szCs w:val="24"/>
          <w:lang w:val="ru-RU"/>
        </w:rPr>
        <w:t xml:space="preserve">2/2008 </w:t>
      </w:r>
      <w:r w:rsidR="00023FD9">
        <w:rPr>
          <w:rFonts w:ascii="Times New Roman" w:hAnsi="Times New Roman"/>
          <w:sz w:val="24"/>
          <w:szCs w:val="24"/>
          <w:lang w:val="ru-RU"/>
        </w:rPr>
        <w:t>«</w:t>
      </w:r>
      <w:r w:rsidRPr="00023FD9">
        <w:rPr>
          <w:rFonts w:ascii="Times New Roman" w:hAnsi="Times New Roman"/>
          <w:i/>
          <w:sz w:val="24"/>
          <w:szCs w:val="24"/>
          <w:lang w:val="ru-RU"/>
        </w:rPr>
        <w:t>Положение распространяется также на договоры оказания услуг, неразрывно связанных со строящимся объектом, длительность выполнения которых составляет более одного отчетного года или сроки начала и окончания которых приходятся на разные отчетные годы</w:t>
      </w:r>
      <w:r w:rsidR="00023FD9" w:rsidRPr="00023FD9">
        <w:rPr>
          <w:rFonts w:ascii="Times New Roman" w:hAnsi="Times New Roman"/>
          <w:i/>
          <w:sz w:val="24"/>
          <w:szCs w:val="24"/>
          <w:lang w:val="ru-RU"/>
        </w:rPr>
        <w:t>»</w:t>
      </w:r>
      <w:r w:rsidRPr="009F0CAC">
        <w:rPr>
          <w:rFonts w:ascii="Times New Roman" w:hAnsi="Times New Roman"/>
          <w:sz w:val="24"/>
          <w:szCs w:val="24"/>
          <w:lang w:val="ru-RU"/>
        </w:rPr>
        <w:t>.</w:t>
      </w:r>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 xml:space="preserve">Содержание обязательств застройщика по договору ДДУ по существу представляет собой услуги, неразрывно связанные со строящимся объектом. Это подтверждается тем, что застройщик по договору ДДУ не получает каких либо правомочий собственника в отношении строящегося объекта. </w:t>
      </w:r>
      <w:r w:rsidR="00023FD9">
        <w:rPr>
          <w:rFonts w:ascii="Times New Roman" w:hAnsi="Times New Roman"/>
          <w:sz w:val="24"/>
          <w:szCs w:val="24"/>
          <w:lang w:val="ru-RU"/>
        </w:rPr>
        <w:t>К</w:t>
      </w:r>
      <w:r w:rsidRPr="009F0CAC">
        <w:rPr>
          <w:rFonts w:ascii="Times New Roman" w:hAnsi="Times New Roman"/>
          <w:sz w:val="24"/>
          <w:szCs w:val="24"/>
          <w:lang w:val="ru-RU"/>
        </w:rPr>
        <w:t>валификация обязательств застройщика в качестве</w:t>
      </w:r>
      <w:r w:rsidR="00023FD9">
        <w:rPr>
          <w:rFonts w:ascii="Times New Roman" w:hAnsi="Times New Roman"/>
          <w:sz w:val="24"/>
          <w:szCs w:val="24"/>
          <w:lang w:val="ru-RU"/>
        </w:rPr>
        <w:t xml:space="preserve"> «услуги» может быть оспорена, о</w:t>
      </w:r>
      <w:r w:rsidRPr="009F0CAC">
        <w:rPr>
          <w:rFonts w:ascii="Times New Roman" w:hAnsi="Times New Roman"/>
          <w:sz w:val="24"/>
          <w:szCs w:val="24"/>
          <w:lang w:val="ru-RU"/>
        </w:rPr>
        <w:t>днако такое оспаривание не имеет значения для определения порядка бухгалтерского учета застройщика в силу</w:t>
      </w:r>
      <w:r w:rsidR="00585430">
        <w:rPr>
          <w:rFonts w:ascii="Times New Roman" w:hAnsi="Times New Roman"/>
          <w:sz w:val="24"/>
          <w:szCs w:val="24"/>
          <w:lang w:val="ru-RU"/>
        </w:rPr>
        <w:t xml:space="preserve"> следующего:</w:t>
      </w:r>
    </w:p>
    <w:p w:rsidR="00585430" w:rsidRDefault="00585430" w:rsidP="009D0D3E">
      <w:pPr>
        <w:pStyle w:val="ac"/>
        <w:numPr>
          <w:ilvl w:val="0"/>
          <w:numId w:val="26"/>
        </w:numPr>
        <w:spacing w:before="120" w:after="0" w:line="360" w:lineRule="auto"/>
        <w:jc w:val="both"/>
        <w:rPr>
          <w:rFonts w:ascii="Times New Roman" w:hAnsi="Times New Roman"/>
          <w:sz w:val="24"/>
          <w:szCs w:val="24"/>
        </w:rPr>
      </w:pPr>
      <w:r>
        <w:rPr>
          <w:rFonts w:ascii="Times New Roman" w:hAnsi="Times New Roman"/>
          <w:sz w:val="24"/>
          <w:szCs w:val="24"/>
        </w:rPr>
        <w:t>д</w:t>
      </w:r>
      <w:r w:rsidR="009F0CAC" w:rsidRPr="00585430">
        <w:rPr>
          <w:rFonts w:ascii="Times New Roman" w:hAnsi="Times New Roman"/>
          <w:sz w:val="24"/>
          <w:szCs w:val="24"/>
        </w:rPr>
        <w:t>опустив неприменимость в отношении застройщика ПБУ 2/2008, организация-застройщик должна самостоятельно сформировать учетную политику в отношении договоров ДДУ, руководствуясь Положением по бухгалтерскому учету «Учетная по</w:t>
      </w:r>
      <w:r>
        <w:rPr>
          <w:rFonts w:ascii="Times New Roman" w:hAnsi="Times New Roman"/>
          <w:sz w:val="24"/>
          <w:szCs w:val="24"/>
        </w:rPr>
        <w:t xml:space="preserve">литика организации» ПБУ 1/2008 </w:t>
      </w:r>
      <w:r w:rsidR="009F0CAC" w:rsidRPr="00585430">
        <w:rPr>
          <w:rFonts w:ascii="Times New Roman" w:hAnsi="Times New Roman"/>
          <w:sz w:val="24"/>
          <w:szCs w:val="24"/>
        </w:rPr>
        <w:t xml:space="preserve">(далее – ПБУ 1/2008). </w:t>
      </w:r>
    </w:p>
    <w:p w:rsidR="00585430" w:rsidRDefault="00585430" w:rsidP="009D0D3E">
      <w:pPr>
        <w:pStyle w:val="ac"/>
        <w:spacing w:before="120" w:after="0" w:line="360" w:lineRule="auto"/>
        <w:contextualSpacing w:val="0"/>
        <w:jc w:val="both"/>
        <w:rPr>
          <w:rFonts w:ascii="Times New Roman" w:hAnsi="Times New Roman"/>
          <w:sz w:val="24"/>
          <w:szCs w:val="24"/>
        </w:rPr>
      </w:pPr>
      <w:r>
        <w:rPr>
          <w:rFonts w:ascii="Times New Roman" w:hAnsi="Times New Roman"/>
          <w:sz w:val="24"/>
          <w:szCs w:val="24"/>
        </w:rPr>
        <w:t>Согласно пункту</w:t>
      </w:r>
      <w:r w:rsidR="009F0CAC" w:rsidRPr="00585430">
        <w:rPr>
          <w:rFonts w:ascii="Times New Roman" w:hAnsi="Times New Roman"/>
          <w:sz w:val="24"/>
          <w:szCs w:val="24"/>
        </w:rPr>
        <w:t xml:space="preserve"> 7 ПБУ 1/2008 </w:t>
      </w:r>
      <w:r w:rsidRPr="00585430">
        <w:rPr>
          <w:rFonts w:ascii="Times New Roman" w:hAnsi="Times New Roman"/>
          <w:i/>
          <w:sz w:val="24"/>
          <w:szCs w:val="24"/>
        </w:rPr>
        <w:t>«Е</w:t>
      </w:r>
      <w:r w:rsidR="009F0CAC" w:rsidRPr="00585430">
        <w:rPr>
          <w:rFonts w:ascii="Times New Roman" w:hAnsi="Times New Roman"/>
          <w:i/>
          <w:sz w:val="24"/>
          <w:szCs w:val="24"/>
        </w:rPr>
        <w:t>сли по конкретному вопросу в нормативных правовых актах не установлены способы ведения бухгалтерского учета, то при формировании учетной политики осуществляется разработка организацией соответствующего способа, исходя из настоящего и иных положений по бухгалтерскому учету, а также Международных стандартов финансовой отчетности. При этом иные положения по бухгалтерскому учету применяются для разработки соответствующего способа в части аналогичных или связанных фактов хозяйственной деятельности, определений, условий признания и порядка оценки активов, обязательств, доходов и расходов</w:t>
      </w:r>
      <w:r w:rsidRPr="00585430">
        <w:rPr>
          <w:rFonts w:ascii="Times New Roman" w:hAnsi="Times New Roman"/>
          <w:i/>
          <w:sz w:val="24"/>
          <w:szCs w:val="24"/>
        </w:rPr>
        <w:t>»</w:t>
      </w:r>
      <w:r w:rsidR="009F0CAC" w:rsidRPr="00585430">
        <w:rPr>
          <w:rFonts w:ascii="Times New Roman" w:hAnsi="Times New Roman"/>
          <w:i/>
          <w:sz w:val="24"/>
          <w:szCs w:val="24"/>
        </w:rPr>
        <w:t>.</w:t>
      </w:r>
      <w:r w:rsidR="009F0CAC" w:rsidRPr="00585430">
        <w:rPr>
          <w:rFonts w:ascii="Times New Roman" w:hAnsi="Times New Roman"/>
          <w:sz w:val="24"/>
          <w:szCs w:val="24"/>
        </w:rPr>
        <w:t xml:space="preserve"> </w:t>
      </w:r>
    </w:p>
    <w:p w:rsidR="00585430" w:rsidRDefault="00585430" w:rsidP="009D0D3E">
      <w:pPr>
        <w:pStyle w:val="ac"/>
        <w:spacing w:before="120" w:after="0" w:line="360" w:lineRule="auto"/>
        <w:jc w:val="both"/>
        <w:rPr>
          <w:rFonts w:ascii="Times New Roman" w:hAnsi="Times New Roman"/>
          <w:sz w:val="24"/>
          <w:szCs w:val="24"/>
        </w:rPr>
      </w:pPr>
    </w:p>
    <w:p w:rsidR="009F0CAC" w:rsidRPr="00585430" w:rsidRDefault="009F0CAC" w:rsidP="009D0D3E">
      <w:pPr>
        <w:pStyle w:val="ac"/>
        <w:spacing w:before="120" w:after="0" w:line="360" w:lineRule="auto"/>
        <w:jc w:val="both"/>
        <w:rPr>
          <w:rFonts w:ascii="Times New Roman" w:hAnsi="Times New Roman"/>
          <w:sz w:val="24"/>
          <w:szCs w:val="24"/>
        </w:rPr>
      </w:pPr>
      <w:r w:rsidRPr="00585430">
        <w:rPr>
          <w:rFonts w:ascii="Times New Roman" w:hAnsi="Times New Roman"/>
          <w:sz w:val="24"/>
          <w:szCs w:val="24"/>
        </w:rPr>
        <w:lastRenderedPageBreak/>
        <w:t>На необходимость использования указанных норм ПБУ 1/2008 в бухгалтерском учете договоров участия в долевом строительстве указывается в Письме Минфина России от 06.11.2013 № 07-01-06/47399.</w:t>
      </w:r>
    </w:p>
    <w:p w:rsidR="00585430" w:rsidRDefault="00417D0D" w:rsidP="007F710D">
      <w:pPr>
        <w:pStyle w:val="ac"/>
        <w:numPr>
          <w:ilvl w:val="0"/>
          <w:numId w:val="26"/>
        </w:numPr>
        <w:spacing w:before="120" w:after="0" w:line="360" w:lineRule="auto"/>
        <w:ind w:left="714" w:hanging="357"/>
        <w:contextualSpacing w:val="0"/>
        <w:jc w:val="both"/>
        <w:rPr>
          <w:rFonts w:ascii="Times New Roman" w:hAnsi="Times New Roman"/>
          <w:sz w:val="24"/>
          <w:szCs w:val="24"/>
        </w:rPr>
      </w:pPr>
      <w:r>
        <w:rPr>
          <w:rFonts w:ascii="Times New Roman" w:hAnsi="Times New Roman"/>
          <w:sz w:val="24"/>
          <w:szCs w:val="24"/>
        </w:rPr>
        <w:t>в</w:t>
      </w:r>
      <w:r w:rsidR="009F0CAC" w:rsidRPr="00585430">
        <w:rPr>
          <w:rFonts w:ascii="Times New Roman" w:hAnsi="Times New Roman"/>
          <w:sz w:val="24"/>
          <w:szCs w:val="24"/>
        </w:rPr>
        <w:t xml:space="preserve">ыбирая иные положения по бухгалтерскому учету, организация вынуждена вернуться к применению ПБУ 2/2008, поскольку только в нем рассматриваются аналогичные и связанные факты хозяйственной деятельности, определения, условия признания и порядка оценки активов, обязательств, доходов и расходов. С точки зрения последствий для бухгалтерского учета и возникающих объектов бухгалтерского учета экономика отношений застройщика с дольщиком по договору ДДУ с одной стороны и с подрядчиками с другой стороны не отличается от экономики отношений подрядчика с заказчиком с одной стороны и с субподрядчиками с другой стороны. </w:t>
      </w:r>
    </w:p>
    <w:p w:rsidR="009F0CAC" w:rsidRPr="00417D0D" w:rsidRDefault="00585430" w:rsidP="009D0D3E">
      <w:pPr>
        <w:pStyle w:val="ac"/>
        <w:spacing w:before="120" w:after="0" w:line="360" w:lineRule="auto"/>
        <w:contextualSpacing w:val="0"/>
        <w:jc w:val="both"/>
        <w:rPr>
          <w:rFonts w:ascii="Times New Roman" w:eastAsia="Times New Roman" w:hAnsi="Times New Roman" w:cs="Times New Roman"/>
          <w:sz w:val="24"/>
          <w:szCs w:val="24"/>
        </w:rPr>
      </w:pPr>
      <w:r w:rsidRPr="00417D0D">
        <w:rPr>
          <w:rFonts w:ascii="Times New Roman" w:eastAsia="Times New Roman" w:hAnsi="Times New Roman" w:cs="Times New Roman"/>
          <w:sz w:val="24"/>
          <w:szCs w:val="24"/>
        </w:rPr>
        <w:t>Исходя из положений</w:t>
      </w:r>
      <w:r w:rsidR="009F0CAC" w:rsidRPr="00417D0D">
        <w:rPr>
          <w:rFonts w:ascii="Times New Roman" w:eastAsia="Times New Roman" w:hAnsi="Times New Roman" w:cs="Times New Roman"/>
          <w:sz w:val="24"/>
          <w:szCs w:val="24"/>
        </w:rPr>
        <w:t xml:space="preserve"> </w:t>
      </w:r>
      <w:r w:rsidRPr="00417D0D">
        <w:rPr>
          <w:rFonts w:ascii="Times New Roman" w:eastAsia="Times New Roman" w:hAnsi="Times New Roman" w:cs="Times New Roman"/>
          <w:sz w:val="24"/>
          <w:szCs w:val="24"/>
        </w:rPr>
        <w:t>пункта</w:t>
      </w:r>
      <w:r w:rsidR="009F0CAC" w:rsidRPr="00417D0D">
        <w:rPr>
          <w:rFonts w:ascii="Times New Roman" w:eastAsia="Times New Roman" w:hAnsi="Times New Roman" w:cs="Times New Roman"/>
          <w:sz w:val="24"/>
          <w:szCs w:val="24"/>
        </w:rPr>
        <w:t xml:space="preserve"> 7 ПБУ 1/2008 учетная политика организации должна обеспечивать </w:t>
      </w:r>
      <w:proofErr w:type="gramStart"/>
      <w:r w:rsidR="009F0CAC" w:rsidRPr="00417D0D">
        <w:rPr>
          <w:rFonts w:ascii="Times New Roman" w:eastAsia="Times New Roman" w:hAnsi="Times New Roman" w:cs="Times New Roman"/>
          <w:sz w:val="24"/>
          <w:szCs w:val="24"/>
        </w:rPr>
        <w:t>отражение</w:t>
      </w:r>
      <w:proofErr w:type="gramEnd"/>
      <w:r w:rsidR="009F0CAC" w:rsidRPr="00417D0D">
        <w:rPr>
          <w:rFonts w:ascii="Times New Roman" w:eastAsia="Times New Roman" w:hAnsi="Times New Roman" w:cs="Times New Roman"/>
          <w:sz w:val="24"/>
          <w:szCs w:val="24"/>
        </w:rPr>
        <w:t xml:space="preserve"> в бухгалтерском учете фактов хозяйственной деятельности исходя не столько из их правовой формы, сколько из их экономического содержания и условий хозяйствования (требование приоритета содержания перед формой).</w:t>
      </w:r>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При строительстве объектов недвижимости, в том числе с использованием механизмов долевого строительства, регулируемых Федеральным законом «Об участии в долевом строительстве многоквартирных домов и иных объектов недвижимости …» №</w:t>
      </w:r>
      <w:r w:rsidRPr="009F0CAC">
        <w:rPr>
          <w:rFonts w:ascii="Times New Roman" w:hAnsi="Times New Roman"/>
          <w:sz w:val="24"/>
          <w:szCs w:val="24"/>
        </w:rPr>
        <w:t> </w:t>
      </w:r>
      <w:r w:rsidRPr="009F0CAC">
        <w:rPr>
          <w:rFonts w:ascii="Times New Roman" w:hAnsi="Times New Roman"/>
          <w:sz w:val="24"/>
          <w:szCs w:val="24"/>
          <w:lang w:val="ru-RU"/>
        </w:rPr>
        <w:t>214</w:t>
      </w:r>
      <w:r w:rsidRPr="009F0CAC">
        <w:rPr>
          <w:rFonts w:ascii="Times New Roman" w:hAnsi="Times New Roman"/>
          <w:sz w:val="24"/>
          <w:szCs w:val="24"/>
          <w:lang w:val="ru-RU"/>
        </w:rPr>
        <w:noBreakHyphen/>
        <w:t>ФЗ (далее – 214</w:t>
      </w:r>
      <w:r w:rsidRPr="009F0CAC">
        <w:rPr>
          <w:rFonts w:ascii="Times New Roman" w:hAnsi="Times New Roman"/>
          <w:sz w:val="24"/>
          <w:szCs w:val="24"/>
          <w:lang w:val="ru-RU"/>
        </w:rPr>
        <w:noBreakHyphen/>
        <w:t>ФЗ), гражданско-правовые договорные отношения могут выстраиваться в длинную цепочку подрядчиков, субподрядчиков, генподрядчиков, заказчиков, застройщиков и других лиц, начиная с того, кто непосредственно выполняет работу, и заканчивая тем, кто сдает результат конечному потребителю. Экономическое содержание прав и обязанностей всех участников этой цепочки с точки зрения бухгалтерского учета аналогичное, независимо от того, каким термином именуется этот участник в договорах</w:t>
      </w:r>
      <w:r w:rsidR="00585430">
        <w:rPr>
          <w:rFonts w:ascii="Times New Roman" w:hAnsi="Times New Roman"/>
          <w:sz w:val="24"/>
          <w:szCs w:val="24"/>
          <w:lang w:val="ru-RU"/>
        </w:rPr>
        <w:t xml:space="preserve">. Поэтому, </w:t>
      </w:r>
      <w:r w:rsidRPr="009F0CAC">
        <w:rPr>
          <w:rFonts w:ascii="Times New Roman" w:hAnsi="Times New Roman"/>
          <w:sz w:val="24"/>
          <w:szCs w:val="24"/>
          <w:lang w:val="ru-RU"/>
        </w:rPr>
        <w:t>в соответствии с указанным выше требованием ПБУ</w:t>
      </w:r>
      <w:r w:rsidRPr="009F0CAC">
        <w:rPr>
          <w:rFonts w:ascii="Times New Roman" w:hAnsi="Times New Roman"/>
          <w:sz w:val="24"/>
          <w:szCs w:val="24"/>
        </w:rPr>
        <w:t> </w:t>
      </w:r>
      <w:r w:rsidRPr="009F0CAC">
        <w:rPr>
          <w:rFonts w:ascii="Times New Roman" w:hAnsi="Times New Roman"/>
          <w:sz w:val="24"/>
          <w:szCs w:val="24"/>
          <w:lang w:val="ru-RU"/>
        </w:rPr>
        <w:t>1/2008</w:t>
      </w:r>
      <w:r w:rsidR="00585430">
        <w:rPr>
          <w:rFonts w:ascii="Times New Roman" w:hAnsi="Times New Roman"/>
          <w:sz w:val="24"/>
          <w:szCs w:val="24"/>
          <w:lang w:val="ru-RU"/>
        </w:rPr>
        <w:t>,</w:t>
      </w:r>
      <w:r w:rsidRPr="009F0CAC">
        <w:rPr>
          <w:rFonts w:ascii="Times New Roman" w:hAnsi="Times New Roman"/>
          <w:sz w:val="24"/>
          <w:szCs w:val="24"/>
          <w:lang w:val="ru-RU"/>
        </w:rPr>
        <w:t xml:space="preserve"> способы ведения бухгалтерского учета таких экономических субъектов должны быть аналогичными. В частности, учетная политика застройщика в части договоров ДДУ должна быть аналогична учетной политике подрядчиков в части договоров подряда.</w:t>
      </w:r>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Исключение с точки зрения аналогичности составляет только конечный участник строительства, который получает результат строительства с целью его использования для собственных нужд и не намерен дальше его отчуждать в пользу других лиц. В этой связи в рассматриваемой ситуации не применимо Положение по бухгалтерскому учету долгосрочных инвестиций, утвержденное письмом Минфина РФ от 30.12.1993 №</w:t>
      </w:r>
      <w:r w:rsidRPr="009F0CAC">
        <w:rPr>
          <w:rFonts w:ascii="Times New Roman" w:hAnsi="Times New Roman"/>
          <w:sz w:val="24"/>
          <w:szCs w:val="24"/>
        </w:rPr>
        <w:t> </w:t>
      </w:r>
      <w:r w:rsidRPr="009F0CAC">
        <w:rPr>
          <w:rFonts w:ascii="Times New Roman" w:hAnsi="Times New Roman"/>
          <w:sz w:val="24"/>
          <w:szCs w:val="24"/>
          <w:lang w:val="ru-RU"/>
        </w:rPr>
        <w:t>160. В</w:t>
      </w:r>
      <w:r w:rsidRPr="009F0CAC">
        <w:rPr>
          <w:rFonts w:ascii="Times New Roman" w:hAnsi="Times New Roman"/>
          <w:sz w:val="24"/>
          <w:szCs w:val="24"/>
        </w:rPr>
        <w:t> </w:t>
      </w:r>
      <w:r w:rsidRPr="009F0CAC">
        <w:rPr>
          <w:rFonts w:ascii="Times New Roman" w:hAnsi="Times New Roman"/>
          <w:sz w:val="24"/>
          <w:szCs w:val="24"/>
          <w:lang w:val="ru-RU"/>
        </w:rPr>
        <w:t xml:space="preserve">соответствии с пунктом 1.2 этого положения для его целей под долгосрочными инвестициями понимаются </w:t>
      </w:r>
      <w:r w:rsidRPr="009F0CAC">
        <w:rPr>
          <w:rFonts w:ascii="Times New Roman" w:hAnsi="Times New Roman"/>
          <w:sz w:val="24"/>
          <w:szCs w:val="24"/>
          <w:lang w:val="ru-RU"/>
        </w:rPr>
        <w:lastRenderedPageBreak/>
        <w:t xml:space="preserve">затраты на создание, увеличение размеров, а также приобретение </w:t>
      </w:r>
      <w:proofErr w:type="spellStart"/>
      <w:r w:rsidRPr="009F0CAC">
        <w:rPr>
          <w:rFonts w:ascii="Times New Roman" w:hAnsi="Times New Roman"/>
          <w:sz w:val="24"/>
          <w:szCs w:val="24"/>
          <w:lang w:val="ru-RU"/>
        </w:rPr>
        <w:t>внеоборотных</w:t>
      </w:r>
      <w:proofErr w:type="spellEnd"/>
      <w:r w:rsidRPr="009F0CAC">
        <w:rPr>
          <w:rFonts w:ascii="Times New Roman" w:hAnsi="Times New Roman"/>
          <w:sz w:val="24"/>
          <w:szCs w:val="24"/>
          <w:lang w:val="ru-RU"/>
        </w:rPr>
        <w:t xml:space="preserve"> активов длительного пользования (свыше одного года), не предназначенных для продажи. Таким образом, данное положение может применяться только теми организациями, для которых объект строительства станет по его завершении основным средством (или другим </w:t>
      </w:r>
      <w:proofErr w:type="spellStart"/>
      <w:r w:rsidRPr="009F0CAC">
        <w:rPr>
          <w:rFonts w:ascii="Times New Roman" w:hAnsi="Times New Roman"/>
          <w:sz w:val="24"/>
          <w:szCs w:val="24"/>
          <w:lang w:val="ru-RU"/>
        </w:rPr>
        <w:t>внеоборотным</w:t>
      </w:r>
      <w:proofErr w:type="spellEnd"/>
      <w:r w:rsidRPr="009F0CAC">
        <w:rPr>
          <w:rFonts w:ascii="Times New Roman" w:hAnsi="Times New Roman"/>
          <w:sz w:val="24"/>
          <w:szCs w:val="24"/>
          <w:lang w:val="ru-RU"/>
        </w:rPr>
        <w:t xml:space="preserve"> активом). Застройщик к таким организациям не относится, поэтому в отношении него Положение по бухгалтерскому учету долгосрочных инвестиций не применимо.</w:t>
      </w:r>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Исходя из изложенного, выбор способов ведения бухгалтерского учета застройщика в отношении договоров ДДУ должен основываться на нормах ПБУ</w:t>
      </w:r>
      <w:r w:rsidRPr="009F0CAC">
        <w:rPr>
          <w:rFonts w:ascii="Times New Roman" w:hAnsi="Times New Roman"/>
          <w:sz w:val="24"/>
          <w:szCs w:val="24"/>
        </w:rPr>
        <w:t> </w:t>
      </w:r>
      <w:r w:rsidRPr="009F0CAC">
        <w:rPr>
          <w:rFonts w:ascii="Times New Roman" w:hAnsi="Times New Roman"/>
          <w:sz w:val="24"/>
          <w:szCs w:val="24"/>
          <w:lang w:val="ru-RU"/>
        </w:rPr>
        <w:t>2/2008. Вместе с тем, несмотря на изложенную аргументацию, на практике застройщики редко основывают свою учетную политику на требованиях ПБУ</w:t>
      </w:r>
      <w:r w:rsidRPr="009F0CAC">
        <w:rPr>
          <w:rFonts w:ascii="Times New Roman" w:hAnsi="Times New Roman"/>
          <w:sz w:val="24"/>
          <w:szCs w:val="24"/>
        </w:rPr>
        <w:t> </w:t>
      </w:r>
      <w:r w:rsidRPr="009F0CAC">
        <w:rPr>
          <w:rFonts w:ascii="Times New Roman" w:hAnsi="Times New Roman"/>
          <w:sz w:val="24"/>
          <w:szCs w:val="24"/>
          <w:lang w:val="ru-RU"/>
        </w:rPr>
        <w:t>2/2008. В этой связи организация при разработке своей учетной политики должна иметь в виду что сложившаяся практика зачастую имеет больший вес в глазах специалистов по бухгалтерскому учету, чем требования нормативных правовых актов.</w:t>
      </w:r>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Основывая учетную политику по договорам ДДУ на ПБУ</w:t>
      </w:r>
      <w:r w:rsidRPr="009F0CAC">
        <w:rPr>
          <w:rFonts w:ascii="Times New Roman" w:hAnsi="Times New Roman"/>
          <w:sz w:val="24"/>
          <w:szCs w:val="24"/>
        </w:rPr>
        <w:t> </w:t>
      </w:r>
      <w:r w:rsidRPr="009F0CAC">
        <w:rPr>
          <w:rFonts w:ascii="Times New Roman" w:hAnsi="Times New Roman"/>
          <w:sz w:val="24"/>
          <w:szCs w:val="24"/>
          <w:lang w:val="ru-RU"/>
        </w:rPr>
        <w:t>2/2008, организация должна признавать выручку способом «по мере готовности». Этот способ предусматривает, что выручка по договору и расходы по договору определяются исходя из подтвержденной организацией степени завершенности работ по договору на отчетную дату и признаются в отчете о финансовых результатах в тех же отчетных периодах, в которых выполнены соответствующие работы, независимо от того, должны или не должны они предъявляться к оплате заказчику до полного завершения работ по договору (этапа работ, предусмотренного договором).</w:t>
      </w:r>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Применительно к описанной ситуации признание выручки по мере готовности относится как к основному вознаграждению застройщика, определяемому в процентах от цены договора в форме надбавки к возмещаемым затратам, так и к дополнительному вознаграждению застройщика, определяемому в размере полученной застройщиком экономии. При этом величину каждой из указанных составляющих выручки следует рассчитывать отдельно, исходя из фактического объема выполненных работ по состоянию на отчетную дату, фактических затрат застройщика, приходящихся на данный объем работ, и фактической выявленной экономии.</w:t>
      </w:r>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Признание выручки по мере готовности будет приемлемым даже в том случае, если применимость ПБУ</w:t>
      </w:r>
      <w:r w:rsidRPr="009F0CAC">
        <w:rPr>
          <w:rFonts w:ascii="Times New Roman" w:hAnsi="Times New Roman"/>
          <w:sz w:val="24"/>
          <w:szCs w:val="24"/>
        </w:rPr>
        <w:t> </w:t>
      </w:r>
      <w:r w:rsidRPr="009F0CAC">
        <w:rPr>
          <w:rFonts w:ascii="Times New Roman" w:hAnsi="Times New Roman"/>
          <w:sz w:val="24"/>
          <w:szCs w:val="24"/>
          <w:lang w:val="ru-RU"/>
        </w:rPr>
        <w:t>2/2008 в отношении рассматриваемой ситуации оспаривается. В</w:t>
      </w:r>
      <w:r w:rsidRPr="009F0CAC">
        <w:rPr>
          <w:rFonts w:ascii="Times New Roman" w:hAnsi="Times New Roman"/>
          <w:sz w:val="24"/>
          <w:szCs w:val="24"/>
        </w:rPr>
        <w:t> </w:t>
      </w:r>
      <w:r w:rsidRPr="009F0CAC">
        <w:rPr>
          <w:rFonts w:ascii="Times New Roman" w:hAnsi="Times New Roman"/>
          <w:sz w:val="24"/>
          <w:szCs w:val="24"/>
          <w:lang w:val="ru-RU"/>
        </w:rPr>
        <w:t>случае неприменения ПБУ</w:t>
      </w:r>
      <w:r w:rsidRPr="009F0CAC">
        <w:rPr>
          <w:rFonts w:ascii="Times New Roman" w:hAnsi="Times New Roman"/>
          <w:sz w:val="24"/>
          <w:szCs w:val="24"/>
        </w:rPr>
        <w:t> </w:t>
      </w:r>
      <w:r w:rsidRPr="009F0CAC">
        <w:rPr>
          <w:rFonts w:ascii="Times New Roman" w:hAnsi="Times New Roman"/>
          <w:sz w:val="24"/>
          <w:szCs w:val="24"/>
          <w:lang w:val="ru-RU"/>
        </w:rPr>
        <w:t>2/2008 организация для признания выручки вынуждена обратиться к Положению по бухгалтерскому учету «Доходы организации» ПБУ</w:t>
      </w:r>
      <w:r w:rsidRPr="009F0CAC">
        <w:rPr>
          <w:rFonts w:ascii="Times New Roman" w:hAnsi="Times New Roman"/>
          <w:sz w:val="24"/>
          <w:szCs w:val="24"/>
        </w:rPr>
        <w:t> </w:t>
      </w:r>
      <w:r w:rsidRPr="009F0CAC">
        <w:rPr>
          <w:rFonts w:ascii="Times New Roman" w:hAnsi="Times New Roman"/>
          <w:sz w:val="24"/>
          <w:szCs w:val="24"/>
          <w:lang w:val="ru-RU"/>
        </w:rPr>
        <w:t>9/99, утвержденному приказом Минфина России от 06.05.1999 №</w:t>
      </w:r>
      <w:r w:rsidRPr="009F0CAC">
        <w:rPr>
          <w:rFonts w:ascii="Times New Roman" w:hAnsi="Times New Roman"/>
          <w:sz w:val="24"/>
          <w:szCs w:val="24"/>
        </w:rPr>
        <w:t> </w:t>
      </w:r>
      <w:r w:rsidRPr="009F0CAC">
        <w:rPr>
          <w:rFonts w:ascii="Times New Roman" w:hAnsi="Times New Roman"/>
          <w:sz w:val="24"/>
          <w:szCs w:val="24"/>
          <w:lang w:val="ru-RU"/>
        </w:rPr>
        <w:t>32н (далее – ПБУ</w:t>
      </w:r>
      <w:r w:rsidRPr="009F0CAC">
        <w:rPr>
          <w:rFonts w:ascii="Times New Roman" w:hAnsi="Times New Roman"/>
          <w:sz w:val="24"/>
          <w:szCs w:val="24"/>
        </w:rPr>
        <w:t> </w:t>
      </w:r>
      <w:r w:rsidRPr="009F0CAC">
        <w:rPr>
          <w:rFonts w:ascii="Times New Roman" w:hAnsi="Times New Roman"/>
          <w:sz w:val="24"/>
          <w:szCs w:val="24"/>
          <w:lang w:val="ru-RU"/>
        </w:rPr>
        <w:t>9/99). В соответствии с пунктом 13 ПБУ</w:t>
      </w:r>
      <w:r w:rsidRPr="009F0CAC">
        <w:rPr>
          <w:rFonts w:ascii="Times New Roman" w:hAnsi="Times New Roman"/>
          <w:sz w:val="24"/>
          <w:szCs w:val="24"/>
        </w:rPr>
        <w:t> </w:t>
      </w:r>
      <w:r w:rsidRPr="009F0CAC">
        <w:rPr>
          <w:rFonts w:ascii="Times New Roman" w:hAnsi="Times New Roman"/>
          <w:sz w:val="24"/>
          <w:szCs w:val="24"/>
          <w:lang w:val="ru-RU"/>
        </w:rPr>
        <w:t xml:space="preserve">9/99 организация может признавать в бухгалтерском учете выручку от выполнения </w:t>
      </w:r>
      <w:r w:rsidRPr="009F0CAC">
        <w:rPr>
          <w:rFonts w:ascii="Times New Roman" w:hAnsi="Times New Roman"/>
          <w:sz w:val="24"/>
          <w:szCs w:val="24"/>
          <w:lang w:val="ru-RU"/>
        </w:rPr>
        <w:lastRenderedPageBreak/>
        <w:t>работ, оказания услуг, продажи продукции с длительным циклом изготовления по мере готовности работы, услуги, продукции или по завершении выполнения работы, оказания услуги, изготовления продукции в целом. Выручка от выполнения конкретной работы, оказания конкретной услуги, продажи конкретного изделия признается в бухгалтерском учете по мере готовности, если возможно определить готовность работы, услуги, изделия.</w:t>
      </w:r>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Отличие между применением ПБУ</w:t>
      </w:r>
      <w:r w:rsidRPr="009F0CAC">
        <w:rPr>
          <w:rFonts w:ascii="Times New Roman" w:hAnsi="Times New Roman"/>
          <w:sz w:val="24"/>
          <w:szCs w:val="24"/>
        </w:rPr>
        <w:t> </w:t>
      </w:r>
      <w:r w:rsidRPr="009F0CAC">
        <w:rPr>
          <w:rFonts w:ascii="Times New Roman" w:hAnsi="Times New Roman"/>
          <w:sz w:val="24"/>
          <w:szCs w:val="24"/>
          <w:lang w:val="ru-RU"/>
        </w:rPr>
        <w:t>2/2008 и ПБУ</w:t>
      </w:r>
      <w:r w:rsidRPr="009F0CAC">
        <w:rPr>
          <w:rFonts w:ascii="Times New Roman" w:hAnsi="Times New Roman"/>
          <w:sz w:val="24"/>
          <w:szCs w:val="24"/>
        </w:rPr>
        <w:t> </w:t>
      </w:r>
      <w:r w:rsidRPr="009F0CAC">
        <w:rPr>
          <w:rFonts w:ascii="Times New Roman" w:hAnsi="Times New Roman"/>
          <w:sz w:val="24"/>
          <w:szCs w:val="24"/>
          <w:lang w:val="ru-RU"/>
        </w:rPr>
        <w:t>9/99 состоит в том, что в первом случае признание выручки по мере готовности является обязательным, а во втором случае – это выбор организации. Вместе с тем такой выбор не может быть произвольным, а должен основываться на требованиях нормативных правовых актов. В силу отсутствия норм, непосредственно применимых к описанной ситуации, организация, обращаясь к процитированному выше пункту 7 ПБУ</w:t>
      </w:r>
      <w:r w:rsidRPr="009F0CAC">
        <w:rPr>
          <w:rFonts w:ascii="Times New Roman" w:hAnsi="Times New Roman"/>
          <w:sz w:val="24"/>
          <w:szCs w:val="24"/>
        </w:rPr>
        <w:t> </w:t>
      </w:r>
      <w:r w:rsidRPr="009F0CAC">
        <w:rPr>
          <w:rFonts w:ascii="Times New Roman" w:hAnsi="Times New Roman"/>
          <w:sz w:val="24"/>
          <w:szCs w:val="24"/>
          <w:lang w:val="ru-RU"/>
        </w:rPr>
        <w:t>1/2008, должна обратить внимание на то, что в нем указывается необходимость применения не только иных положений по бухгалтерскому учету (в части аналогичных или связанных вопросов), но и международных стандартов финансовой отчетности (далее – МСФО). Поправки, внесенные в ПБУ</w:t>
      </w:r>
      <w:r w:rsidRPr="009F0CAC">
        <w:rPr>
          <w:rFonts w:ascii="Times New Roman" w:hAnsi="Times New Roman"/>
          <w:sz w:val="24"/>
          <w:szCs w:val="24"/>
        </w:rPr>
        <w:t> </w:t>
      </w:r>
      <w:r w:rsidRPr="009F0CAC">
        <w:rPr>
          <w:rFonts w:ascii="Times New Roman" w:hAnsi="Times New Roman"/>
          <w:sz w:val="24"/>
          <w:szCs w:val="24"/>
          <w:lang w:val="ru-RU"/>
        </w:rPr>
        <w:t>1/2008 приказом Минфина России от 28.04.2017 №</w:t>
      </w:r>
      <w:r w:rsidRPr="009F0CAC">
        <w:rPr>
          <w:rFonts w:ascii="Times New Roman" w:hAnsi="Times New Roman"/>
          <w:sz w:val="24"/>
          <w:szCs w:val="24"/>
        </w:rPr>
        <w:t> </w:t>
      </w:r>
      <w:r w:rsidRPr="009F0CAC">
        <w:rPr>
          <w:rFonts w:ascii="Times New Roman" w:hAnsi="Times New Roman"/>
          <w:sz w:val="24"/>
          <w:szCs w:val="24"/>
          <w:lang w:val="ru-RU"/>
        </w:rPr>
        <w:t>69н (находится на регистрации в Минюсте России), не изменили данное требование, но конкретизировали его. После вступления указанных поправок в силу (ожидается в июле 2017) применение МСФО становится приоритетным над применением иных положений российских стандартов в части аналогичных или связанных вопросов.</w:t>
      </w:r>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Среди документов МСФО к описанной ситуации имеет непосредственное отношение разъяснение КРМФО (</w:t>
      </w:r>
      <w:r w:rsidRPr="009F0CAC">
        <w:rPr>
          <w:rFonts w:ascii="Times New Roman" w:hAnsi="Times New Roman"/>
          <w:sz w:val="24"/>
          <w:szCs w:val="24"/>
        </w:rPr>
        <w:t>IFRIC</w:t>
      </w:r>
      <w:r w:rsidRPr="009F0CAC">
        <w:rPr>
          <w:rFonts w:ascii="Times New Roman" w:hAnsi="Times New Roman"/>
          <w:sz w:val="24"/>
          <w:szCs w:val="24"/>
          <w:lang w:val="ru-RU"/>
        </w:rPr>
        <w:t xml:space="preserve">) 15 «Соглашения на строительство объектов недвижимости» (далее – </w:t>
      </w:r>
      <w:r w:rsidRPr="009F0CAC">
        <w:rPr>
          <w:rFonts w:ascii="Times New Roman" w:hAnsi="Times New Roman"/>
          <w:sz w:val="24"/>
          <w:szCs w:val="24"/>
        </w:rPr>
        <w:t>IFRIC </w:t>
      </w:r>
      <w:r w:rsidRPr="009F0CAC">
        <w:rPr>
          <w:rFonts w:ascii="Times New Roman" w:hAnsi="Times New Roman"/>
          <w:sz w:val="24"/>
          <w:szCs w:val="24"/>
          <w:lang w:val="ru-RU"/>
        </w:rPr>
        <w:t>15), введенное в действие на территории Российской Федерации приказом Минфина России от 28.12.2015 №</w:t>
      </w:r>
      <w:r w:rsidRPr="009F0CAC">
        <w:rPr>
          <w:rFonts w:ascii="Times New Roman" w:hAnsi="Times New Roman"/>
          <w:sz w:val="24"/>
          <w:szCs w:val="24"/>
        </w:rPr>
        <w:t> </w:t>
      </w:r>
      <w:r w:rsidRPr="009F0CAC">
        <w:rPr>
          <w:rFonts w:ascii="Times New Roman" w:hAnsi="Times New Roman"/>
          <w:sz w:val="24"/>
          <w:szCs w:val="24"/>
          <w:lang w:val="ru-RU"/>
        </w:rPr>
        <w:t>217н. Исходя из этого разъяснения, если договор на строительство объектов недвижимости заключен на таких условиях, на которых заключаются договоры ДДУ в соответствии с 214</w:t>
      </w:r>
      <w:r w:rsidRPr="009F0CAC">
        <w:rPr>
          <w:rFonts w:ascii="Times New Roman" w:hAnsi="Times New Roman"/>
          <w:sz w:val="24"/>
          <w:szCs w:val="24"/>
          <w:lang w:val="ru-RU"/>
        </w:rPr>
        <w:noBreakHyphen/>
        <w:t>ФЗ, как в рассматриваемой ситуации, то выручка по таким договорам должна признаваться по мере готовности.</w:t>
      </w:r>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В связи с введением в действие на территории Российской Федерации Международного стандарта финансовой отчетности (</w:t>
      </w:r>
      <w:r w:rsidRPr="009F0CAC">
        <w:rPr>
          <w:rFonts w:ascii="Times New Roman" w:hAnsi="Times New Roman"/>
          <w:sz w:val="24"/>
          <w:szCs w:val="24"/>
        </w:rPr>
        <w:t>IFRS</w:t>
      </w:r>
      <w:r w:rsidRPr="009F0CAC">
        <w:rPr>
          <w:rFonts w:ascii="Times New Roman" w:hAnsi="Times New Roman"/>
          <w:sz w:val="24"/>
          <w:szCs w:val="24"/>
          <w:lang w:val="ru-RU"/>
        </w:rPr>
        <w:t xml:space="preserve">) 15 «Выручка по договорам с покупателями» (далее – </w:t>
      </w:r>
      <w:r w:rsidRPr="009F0CAC">
        <w:rPr>
          <w:rFonts w:ascii="Times New Roman" w:hAnsi="Times New Roman"/>
          <w:sz w:val="24"/>
          <w:szCs w:val="24"/>
        </w:rPr>
        <w:t>IFRS </w:t>
      </w:r>
      <w:r w:rsidRPr="009F0CAC">
        <w:rPr>
          <w:rFonts w:ascii="Times New Roman" w:hAnsi="Times New Roman"/>
          <w:sz w:val="24"/>
          <w:szCs w:val="24"/>
          <w:lang w:val="ru-RU"/>
        </w:rPr>
        <w:t>15) приказом Минфина России от 27.06.2016 №</w:t>
      </w:r>
      <w:r w:rsidRPr="009F0CAC">
        <w:rPr>
          <w:rFonts w:ascii="Times New Roman" w:hAnsi="Times New Roman"/>
          <w:sz w:val="24"/>
          <w:szCs w:val="24"/>
        </w:rPr>
        <w:t> </w:t>
      </w:r>
      <w:r w:rsidRPr="009F0CAC">
        <w:rPr>
          <w:rFonts w:ascii="Times New Roman" w:hAnsi="Times New Roman"/>
          <w:sz w:val="24"/>
          <w:szCs w:val="24"/>
          <w:lang w:val="ru-RU"/>
        </w:rPr>
        <w:t xml:space="preserve">98н (обязателен к применению с 2018 года при возможности досрочного добровольного применения), </w:t>
      </w:r>
      <w:r w:rsidRPr="009F0CAC">
        <w:rPr>
          <w:rFonts w:ascii="Times New Roman" w:hAnsi="Times New Roman"/>
          <w:sz w:val="24"/>
          <w:szCs w:val="24"/>
        </w:rPr>
        <w:t>IFRIC </w:t>
      </w:r>
      <w:r w:rsidRPr="009F0CAC">
        <w:rPr>
          <w:rFonts w:ascii="Times New Roman" w:hAnsi="Times New Roman"/>
          <w:sz w:val="24"/>
          <w:szCs w:val="24"/>
          <w:lang w:val="ru-RU"/>
        </w:rPr>
        <w:t xml:space="preserve">15 не применяется организациями, которые применяют </w:t>
      </w:r>
      <w:r w:rsidRPr="009F0CAC">
        <w:rPr>
          <w:rFonts w:ascii="Times New Roman" w:hAnsi="Times New Roman"/>
          <w:sz w:val="24"/>
          <w:szCs w:val="24"/>
        </w:rPr>
        <w:t>IFRS </w:t>
      </w:r>
      <w:r w:rsidRPr="009F0CAC">
        <w:rPr>
          <w:rFonts w:ascii="Times New Roman" w:hAnsi="Times New Roman"/>
          <w:sz w:val="24"/>
          <w:szCs w:val="24"/>
          <w:lang w:val="ru-RU"/>
        </w:rPr>
        <w:t xml:space="preserve">15. Вместе с тем исходя из установленных </w:t>
      </w:r>
      <w:r w:rsidRPr="009F0CAC">
        <w:rPr>
          <w:rFonts w:ascii="Times New Roman" w:hAnsi="Times New Roman"/>
          <w:sz w:val="24"/>
          <w:szCs w:val="24"/>
        </w:rPr>
        <w:t>IFRS </w:t>
      </w:r>
      <w:r w:rsidRPr="009F0CAC">
        <w:rPr>
          <w:rFonts w:ascii="Times New Roman" w:hAnsi="Times New Roman"/>
          <w:sz w:val="24"/>
          <w:szCs w:val="24"/>
          <w:lang w:val="ru-RU"/>
        </w:rPr>
        <w:t xml:space="preserve">15 критериев разделения обязанностей к исполнению на выполняемые в течение периода и выполняемые в определенный момент времени, обязанности застройщика по договорам ДДУ относятся к выполняемым в течение периода. Выручка по таким договорам должна признаваться путем оценивания степени полноты выполнения обязанности. </w:t>
      </w:r>
      <w:proofErr w:type="gramStart"/>
      <w:r w:rsidRPr="009F0CAC">
        <w:rPr>
          <w:rFonts w:ascii="Times New Roman" w:hAnsi="Times New Roman"/>
          <w:sz w:val="24"/>
          <w:szCs w:val="24"/>
          <w:lang w:val="ru-RU"/>
        </w:rPr>
        <w:t xml:space="preserve">Таким образом, </w:t>
      </w:r>
      <w:r w:rsidRPr="009F0CAC">
        <w:rPr>
          <w:rFonts w:ascii="Times New Roman" w:hAnsi="Times New Roman"/>
          <w:sz w:val="24"/>
          <w:szCs w:val="24"/>
          <w:lang w:val="ru-RU"/>
        </w:rPr>
        <w:lastRenderedPageBreak/>
        <w:t xml:space="preserve">порядок признания выручки применительно к рассматриваемой ситуации получается аналогичным как при применения </w:t>
      </w:r>
      <w:r w:rsidRPr="009F0CAC">
        <w:rPr>
          <w:rFonts w:ascii="Times New Roman" w:hAnsi="Times New Roman"/>
          <w:sz w:val="24"/>
          <w:szCs w:val="24"/>
        </w:rPr>
        <w:t>IFRIC </w:t>
      </w:r>
      <w:r w:rsidRPr="009F0CAC">
        <w:rPr>
          <w:rFonts w:ascii="Times New Roman" w:hAnsi="Times New Roman"/>
          <w:sz w:val="24"/>
          <w:szCs w:val="24"/>
          <w:lang w:val="ru-RU"/>
        </w:rPr>
        <w:t xml:space="preserve">15, так и при применении </w:t>
      </w:r>
      <w:r w:rsidRPr="009F0CAC">
        <w:rPr>
          <w:rFonts w:ascii="Times New Roman" w:hAnsi="Times New Roman"/>
          <w:sz w:val="24"/>
          <w:szCs w:val="24"/>
        </w:rPr>
        <w:t>IFRS </w:t>
      </w:r>
      <w:r w:rsidRPr="009F0CAC">
        <w:rPr>
          <w:rFonts w:ascii="Times New Roman" w:hAnsi="Times New Roman"/>
          <w:sz w:val="24"/>
          <w:szCs w:val="24"/>
          <w:lang w:val="ru-RU"/>
        </w:rPr>
        <w:t>15.</w:t>
      </w:r>
      <w:proofErr w:type="gramEnd"/>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Исходя из изложенного в рассматриваемой ситуации выручку по договору ДДУ следует признавать способом «по мере готовности», даже при том условии, что организация откажется от использования норм ПБУ</w:t>
      </w:r>
      <w:r w:rsidRPr="009F0CAC">
        <w:rPr>
          <w:rFonts w:ascii="Times New Roman" w:hAnsi="Times New Roman"/>
          <w:sz w:val="24"/>
          <w:szCs w:val="24"/>
        </w:rPr>
        <w:t> </w:t>
      </w:r>
      <w:r w:rsidRPr="009F0CAC">
        <w:rPr>
          <w:rFonts w:ascii="Times New Roman" w:hAnsi="Times New Roman"/>
          <w:sz w:val="24"/>
          <w:szCs w:val="24"/>
          <w:lang w:val="ru-RU"/>
        </w:rPr>
        <w:t xml:space="preserve">2/2008, посчитав их в данном случае неприменимыми. Вместе с тем, несмотря на требования нормативных правовых актов, признание выручки застройщиками в отношении договоров ДДУ способом «по мере готовности» не является распространенной практикой. </w:t>
      </w:r>
      <w:proofErr w:type="gramStart"/>
      <w:r w:rsidRPr="009F0CAC">
        <w:rPr>
          <w:rFonts w:ascii="Times New Roman" w:hAnsi="Times New Roman"/>
          <w:sz w:val="24"/>
          <w:szCs w:val="24"/>
          <w:lang w:val="ru-RU"/>
        </w:rPr>
        <w:t>В этой связи высока вероятность, что аудиторы, государственные органы и иные лица при оценке корректности выбранного организацией порядка ведения бухгалтерского учета будут настаивать на необходимости признания выручки только на дату подписания акта о передаче квартиры дольщику или на дату регистрации за дольщиком прав собственности на квартиру либо (самое раннее) на дату получения  разрешения на ввод МКД в эксплуатацию.</w:t>
      </w:r>
      <w:proofErr w:type="gramEnd"/>
      <w:r w:rsidRPr="009F0CAC">
        <w:rPr>
          <w:rFonts w:ascii="Times New Roman" w:hAnsi="Times New Roman"/>
          <w:sz w:val="24"/>
          <w:szCs w:val="24"/>
          <w:lang w:val="ru-RU"/>
        </w:rPr>
        <w:t xml:space="preserve"> Такая точка зрения на признание выручки является распространенной в силу сложившейся практики ведения бухгалтерского учета застройщиками, хотя с точки зрения требований нормативных правовых актов по бухгалтерскому учету (как было показано выше) она не имеет под собой нормативных оснований.</w:t>
      </w:r>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Что касается отражения в бухгалтерском учете застройщика средств, получаемых от дольщиков, существует практика использования счета 86 «Целевое финансирование». Такая практика основывается на формальном прочтении предназначения этого счета, изложенного в Инструкции по применению Плана счетов бухгалтерского учета финансово-хозяйственной деятельности организаций, утвержденной Приказом Минфина РФ от 31.10.2000 №</w:t>
      </w:r>
      <w:r w:rsidRPr="009F0CAC">
        <w:rPr>
          <w:rFonts w:ascii="Times New Roman" w:hAnsi="Times New Roman"/>
          <w:sz w:val="24"/>
          <w:szCs w:val="24"/>
        </w:rPr>
        <w:t> </w:t>
      </w:r>
      <w:r w:rsidRPr="009F0CAC">
        <w:rPr>
          <w:rFonts w:ascii="Times New Roman" w:hAnsi="Times New Roman"/>
          <w:sz w:val="24"/>
          <w:szCs w:val="24"/>
          <w:lang w:val="ru-RU"/>
        </w:rPr>
        <w:t xml:space="preserve">94н (далее – Инструкция). В соответствии с Инструкцией счет 86 «Целевое финансирование» предназначен для обобщения информации о движении средств, предназначенных для осуществления мероприятий целевого назначения, средств, поступивших от других организаций и лиц, бюджетных средств и др. Тем не менее, использование счета 86 в отношении средств, </w:t>
      </w:r>
      <w:proofErr w:type="spellStart"/>
      <w:r w:rsidRPr="009F0CAC">
        <w:rPr>
          <w:rFonts w:ascii="Times New Roman" w:hAnsi="Times New Roman"/>
          <w:sz w:val="24"/>
          <w:szCs w:val="24"/>
          <w:lang w:val="ru-RU"/>
        </w:rPr>
        <w:t>поступаемых</w:t>
      </w:r>
      <w:proofErr w:type="spellEnd"/>
      <w:r w:rsidRPr="009F0CAC">
        <w:rPr>
          <w:rFonts w:ascii="Times New Roman" w:hAnsi="Times New Roman"/>
          <w:sz w:val="24"/>
          <w:szCs w:val="24"/>
          <w:lang w:val="ru-RU"/>
        </w:rPr>
        <w:t xml:space="preserve"> от дольщиков по договору ДДУ, представляется некорректным в силу следующих причин.</w:t>
      </w:r>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Отдельные слова в описании счета нельзя вырывать из контекста и делать по ним выводы вне других взаимосвязанных положений Инструкции. Счет 86 включен в Раздел</w:t>
      </w:r>
      <w:r w:rsidRPr="009F0CAC">
        <w:rPr>
          <w:rFonts w:ascii="Times New Roman" w:hAnsi="Times New Roman"/>
          <w:sz w:val="24"/>
          <w:szCs w:val="24"/>
        </w:rPr>
        <w:t> VII</w:t>
      </w:r>
      <w:r w:rsidRPr="009F0CAC">
        <w:rPr>
          <w:rFonts w:ascii="Times New Roman" w:hAnsi="Times New Roman"/>
          <w:sz w:val="24"/>
          <w:szCs w:val="24"/>
          <w:lang w:val="ru-RU"/>
        </w:rPr>
        <w:t xml:space="preserve">. «Капитал». При этом в соответствии с Инструкцией счета этого раздела предназначены для обобщения информации о состоянии и движении капитала организации. В этой связи предназначение счета 86 ограничивается теми поступлениями, которые не формируют встречных обязательств организации. Главным образом данный счет предназначен для использования некоммерческими организациями. В части коммерческих организаций использование этого </w:t>
      </w:r>
      <w:r w:rsidRPr="009F0CAC">
        <w:rPr>
          <w:rFonts w:ascii="Times New Roman" w:hAnsi="Times New Roman"/>
          <w:sz w:val="24"/>
          <w:szCs w:val="24"/>
          <w:lang w:val="ru-RU"/>
        </w:rPr>
        <w:lastRenderedPageBreak/>
        <w:t>счета ограничено некоторыми специфическими видами поступлений от акционеров (участников, собственников) или из бюджета на безвозмездной основе.</w:t>
      </w:r>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 xml:space="preserve">Отношения между застройщиком и дольщиком по договору ДДУ носят возмездный характер. В результате получения средств от дольщика у застройщика образуется встречное обязательство перед ним по организации строительства МКД и передаче по его результатам дольщику определенной договором квартиры. Эти обязательства должны раскрываться в бухгалтерской отчетности в разделах «Долгосрочные обязательства» или «Краткосрочные обязательства» бухгалтерского баланса в зависимости от конкретных условий. При этом для отражения расчетов с дольщиками следует использовать счета раздела </w:t>
      </w:r>
      <w:r w:rsidRPr="009F0CAC">
        <w:rPr>
          <w:rFonts w:ascii="Times New Roman" w:hAnsi="Times New Roman"/>
          <w:sz w:val="24"/>
          <w:szCs w:val="24"/>
        </w:rPr>
        <w:t>VI</w:t>
      </w:r>
      <w:r w:rsidRPr="009F0CAC">
        <w:rPr>
          <w:rFonts w:ascii="Times New Roman" w:hAnsi="Times New Roman"/>
          <w:sz w:val="24"/>
          <w:szCs w:val="24"/>
          <w:lang w:val="ru-RU"/>
        </w:rPr>
        <w:t xml:space="preserve"> «Расчеты» Плана счетов. Указанной позиции придерживается Министерство финансов Российской Федерации, что подтверждается Письмом Минфина России от 08.05.2014 №</w:t>
      </w:r>
      <w:r w:rsidRPr="009F0CAC">
        <w:rPr>
          <w:rFonts w:ascii="Times New Roman" w:hAnsi="Times New Roman"/>
          <w:sz w:val="24"/>
          <w:szCs w:val="24"/>
        </w:rPr>
        <w:t> </w:t>
      </w:r>
      <w:r w:rsidRPr="009F0CAC">
        <w:rPr>
          <w:rFonts w:ascii="Times New Roman" w:hAnsi="Times New Roman"/>
          <w:sz w:val="24"/>
          <w:szCs w:val="24"/>
          <w:lang w:val="ru-RU"/>
        </w:rPr>
        <w:t>07-01-12/21775.</w:t>
      </w:r>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 xml:space="preserve">Выбирая из счетов раздела </w:t>
      </w:r>
      <w:r w:rsidRPr="009F0CAC">
        <w:rPr>
          <w:rFonts w:ascii="Times New Roman" w:hAnsi="Times New Roman"/>
          <w:sz w:val="24"/>
          <w:szCs w:val="24"/>
        </w:rPr>
        <w:t>VI</w:t>
      </w:r>
      <w:r w:rsidRPr="009F0CAC">
        <w:rPr>
          <w:rFonts w:ascii="Times New Roman" w:hAnsi="Times New Roman"/>
          <w:sz w:val="24"/>
          <w:szCs w:val="24"/>
          <w:lang w:val="ru-RU"/>
        </w:rPr>
        <w:t xml:space="preserve"> «Расчеты» в рассматриваемой ситуации, для отражения обязательств застройщика перед дольщиками по договору ДДУ является допустимым использование счета 76 «Расчеты с разными дебиторами и кредиторами». Вместе с тем (признавая большую популярность счета 76 среди бухгалтеров при отражении любых мало-мальски нестандартных расчетов), исходя из приведенных в Инструкции описаний счетов для отражения расчетов застройщика с дольщиками более уместным представляется использование счета 62 «Расчеты с покупателями и заказчиками».</w:t>
      </w:r>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Отношения застройщика с дольщиками по договорам ДДУ являются частным случаем обычных рыночных отношений продавца и покупателя (заказчика и исполнителя). В рамках этих отношений получение застройщиком от дольщика средств на финансирование долевого строительства является частным случаем получения продавцом (исполнителем) аванса или предоплаты от покупателя (заказчика).</w:t>
      </w:r>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Такой вывод подтверждается Постановлением Пленума Высшего Арбитражного Суда Российской Федерации от 11.07.2011 №</w:t>
      </w:r>
      <w:r w:rsidRPr="009F0CAC">
        <w:rPr>
          <w:rFonts w:ascii="Times New Roman" w:hAnsi="Times New Roman"/>
          <w:sz w:val="24"/>
          <w:szCs w:val="24"/>
        </w:rPr>
        <w:t> </w:t>
      </w:r>
      <w:r w:rsidRPr="009F0CAC">
        <w:rPr>
          <w:rFonts w:ascii="Times New Roman" w:hAnsi="Times New Roman"/>
          <w:sz w:val="24"/>
          <w:szCs w:val="24"/>
          <w:lang w:val="ru-RU"/>
        </w:rPr>
        <w:t>54. В соответствии с пунктом 11 указанного Постановления положения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являются специальными по отношению к положениям Гражданского кодекса Российской Федерации о купле-продаже будущей вещи.</w:t>
      </w:r>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При этом положения 214</w:t>
      </w:r>
      <w:r w:rsidRPr="009F0CAC">
        <w:rPr>
          <w:rFonts w:ascii="Times New Roman" w:hAnsi="Times New Roman"/>
          <w:sz w:val="24"/>
          <w:szCs w:val="24"/>
          <w:lang w:val="ru-RU"/>
        </w:rPr>
        <w:noBreakHyphen/>
        <w:t xml:space="preserve">ФЗ, а также положения обычных договоров ДДУ, в том числе приведенных в приложении к рассматриваемой ситуации, не предусматривают таких специфических условий, из-за которых в бухгалтерском учете таких договоров следовало бы </w:t>
      </w:r>
      <w:r w:rsidRPr="009F0CAC">
        <w:rPr>
          <w:rFonts w:ascii="Times New Roman" w:hAnsi="Times New Roman"/>
          <w:sz w:val="24"/>
          <w:szCs w:val="24"/>
          <w:lang w:val="ru-RU"/>
        </w:rPr>
        <w:lastRenderedPageBreak/>
        <w:t>применять иные подходы по сравнению с бухгалтерским учетом обычных договоров купли-продажи, подряда или оказания услуг.</w:t>
      </w:r>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Специфика для бухгалтерского учета заключается не в особенностях договора ДДУ, а в признании выручки по мере готовности, что предполагает диверсификацию отражения в бухгалтерском учете расчетов с контрагентом. В частности, отражение выручки по кредиту счета 90 «Продажи» корреспондирует с дебетом счета 46 «Выполненные этапы по незавершенным работам». Сформированный на этом счете показатель представляет собой специфический вид дебиторской задолженности, не подтвержденной дебитором – так называемая «</w:t>
      </w:r>
      <w:proofErr w:type="spellStart"/>
      <w:r w:rsidRPr="009F0CAC">
        <w:rPr>
          <w:rFonts w:ascii="Times New Roman" w:hAnsi="Times New Roman"/>
          <w:sz w:val="24"/>
          <w:szCs w:val="24"/>
          <w:lang w:val="ru-RU"/>
        </w:rPr>
        <w:t>неактированная</w:t>
      </w:r>
      <w:proofErr w:type="spellEnd"/>
      <w:r w:rsidRPr="009F0CAC">
        <w:rPr>
          <w:rFonts w:ascii="Times New Roman" w:hAnsi="Times New Roman"/>
          <w:sz w:val="24"/>
          <w:szCs w:val="24"/>
          <w:lang w:val="ru-RU"/>
        </w:rPr>
        <w:t xml:space="preserve"> </w:t>
      </w:r>
      <w:proofErr w:type="spellStart"/>
      <w:r w:rsidRPr="009F0CAC">
        <w:rPr>
          <w:rFonts w:ascii="Times New Roman" w:hAnsi="Times New Roman"/>
          <w:sz w:val="24"/>
          <w:szCs w:val="24"/>
          <w:lang w:val="ru-RU"/>
        </w:rPr>
        <w:t>дебиторка</w:t>
      </w:r>
      <w:proofErr w:type="spellEnd"/>
      <w:r w:rsidRPr="009F0CAC">
        <w:rPr>
          <w:rFonts w:ascii="Times New Roman" w:hAnsi="Times New Roman"/>
          <w:sz w:val="24"/>
          <w:szCs w:val="24"/>
          <w:lang w:val="ru-RU"/>
        </w:rPr>
        <w:t>». Отнесение данного показателя к дебиторской задолженности подтверждается Минфином РФ в рекомендациях аудиторским организациям, индивидуальным аудиторам, аудиторам по проведению аудита годовой бухгалтерской отчетности организаций за 2013 год (приложение к письму от 29 января 2014 г. №</w:t>
      </w:r>
      <w:r w:rsidRPr="009F0CAC">
        <w:rPr>
          <w:rFonts w:ascii="Times New Roman" w:hAnsi="Times New Roman"/>
          <w:sz w:val="24"/>
          <w:szCs w:val="24"/>
        </w:rPr>
        <w:t> </w:t>
      </w:r>
      <w:r w:rsidRPr="009F0CAC">
        <w:rPr>
          <w:rFonts w:ascii="Times New Roman" w:hAnsi="Times New Roman"/>
          <w:sz w:val="24"/>
          <w:szCs w:val="24"/>
          <w:lang w:val="ru-RU"/>
        </w:rPr>
        <w:t>07-04-18/01) по вопросу отражения в бухгалтерском балансе данных в связи с признанием выручки способом «по мере готовности».</w:t>
      </w:r>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В случаях признания выручки по мере готовности остатки по счетам 46 и 62 в совокупности формируют экономический баланс расчетов с контрагентом по договору и показывают степень исполнения обязательств по договору каждой из сторон. В случае с договором ДДУ кредитовое сальдо счета 62 показывает степень исполнения дольщиком своих обязательств по финансированию строительства – сколько средств им перечислено. Дебетовое сальдо счета 46 показывает степень исполнения застройщиком своих обязательств по организации строительства – насколько строительство МКД завершено.</w:t>
      </w:r>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Оба обязательства являются встречными в отношении друг друга. Поэтому остаток по каждому из указанных двух счетов раскрывается только в пояснениях к бухгалтерскому балансу, в то время как в самом бухгалтерском балансе представляется свернутое сальдо обоих счетов. В случае превышения остатка по счету 62 над остатком по счету 46 итоговое кредитовое сальдо представляется в бухгалтерском балансе как «Чистые обязательства по договорам долевого участия». В случае превышения остатка по счету 46 над остатком по счету 62 итоговое дебетовое сальдо представляется в бухгалтерском балансе как «Непредъявленная к оплате начисленная выручка».</w:t>
      </w:r>
    </w:p>
    <w:p w:rsidR="009F0CAC" w:rsidRPr="009F0CAC" w:rsidRDefault="009F0CAC" w:rsidP="009D0D3E">
      <w:pPr>
        <w:spacing w:before="120" w:after="0" w:line="360" w:lineRule="auto"/>
        <w:jc w:val="both"/>
        <w:rPr>
          <w:rFonts w:ascii="Times New Roman" w:hAnsi="Times New Roman"/>
          <w:sz w:val="24"/>
          <w:szCs w:val="24"/>
          <w:lang w:val="ru-RU"/>
        </w:rPr>
      </w:pPr>
      <w:r w:rsidRPr="009F0CAC">
        <w:rPr>
          <w:rFonts w:ascii="Times New Roman" w:hAnsi="Times New Roman"/>
          <w:sz w:val="24"/>
          <w:szCs w:val="24"/>
          <w:lang w:val="ru-RU"/>
        </w:rPr>
        <w:t>Исходя из изложенного рекомендуется следующая схема основных бухгалтерских записей:</w:t>
      </w:r>
    </w:p>
    <w:p w:rsidR="009F0CAC" w:rsidRPr="009F0CAC" w:rsidRDefault="009F0CAC" w:rsidP="009D0D3E">
      <w:pPr>
        <w:spacing w:before="120" w:after="0" w:line="360" w:lineRule="auto"/>
        <w:ind w:left="3119" w:hanging="3119"/>
        <w:rPr>
          <w:rFonts w:ascii="Times New Roman" w:hAnsi="Times New Roman"/>
          <w:sz w:val="24"/>
          <w:szCs w:val="24"/>
          <w:lang w:val="ru-RU"/>
        </w:rPr>
      </w:pPr>
      <w:r w:rsidRPr="009F0CAC">
        <w:rPr>
          <w:rFonts w:ascii="Times New Roman" w:hAnsi="Times New Roman"/>
          <w:sz w:val="24"/>
          <w:szCs w:val="24"/>
          <w:lang w:val="ru-RU"/>
        </w:rPr>
        <w:t>Д</w:t>
      </w:r>
      <w:r w:rsidRPr="009F0CAC">
        <w:rPr>
          <w:rFonts w:ascii="Times New Roman" w:hAnsi="Times New Roman"/>
          <w:sz w:val="24"/>
          <w:szCs w:val="24"/>
        </w:rPr>
        <w:t> </w:t>
      </w:r>
      <w:r w:rsidRPr="009F0CAC">
        <w:rPr>
          <w:rFonts w:ascii="Times New Roman" w:hAnsi="Times New Roman"/>
          <w:sz w:val="24"/>
          <w:szCs w:val="24"/>
          <w:lang w:val="ru-RU"/>
        </w:rPr>
        <w:t>51 – К</w:t>
      </w:r>
      <w:r w:rsidRPr="009F0CAC">
        <w:rPr>
          <w:rFonts w:ascii="Times New Roman" w:hAnsi="Times New Roman"/>
          <w:sz w:val="24"/>
          <w:szCs w:val="24"/>
        </w:rPr>
        <w:t> </w:t>
      </w:r>
      <w:r w:rsidRPr="009F0CAC">
        <w:rPr>
          <w:rFonts w:ascii="Times New Roman" w:hAnsi="Times New Roman"/>
          <w:sz w:val="24"/>
          <w:szCs w:val="24"/>
          <w:lang w:val="ru-RU"/>
        </w:rPr>
        <w:t>62</w:t>
      </w:r>
      <w:r w:rsidRPr="009F0CAC">
        <w:rPr>
          <w:rFonts w:ascii="Times New Roman" w:hAnsi="Times New Roman"/>
          <w:sz w:val="24"/>
          <w:szCs w:val="24"/>
          <w:lang w:val="ru-RU"/>
        </w:rPr>
        <w:tab/>
        <w:t>получены средства дольщиков</w:t>
      </w:r>
    </w:p>
    <w:p w:rsidR="009F0CAC" w:rsidRPr="009F0CAC" w:rsidRDefault="009F0CAC" w:rsidP="009D0D3E">
      <w:pPr>
        <w:spacing w:before="120" w:after="0" w:line="360" w:lineRule="auto"/>
        <w:ind w:left="3119" w:hanging="3119"/>
        <w:rPr>
          <w:rFonts w:ascii="Times New Roman" w:hAnsi="Times New Roman"/>
          <w:sz w:val="24"/>
          <w:szCs w:val="24"/>
          <w:lang w:val="ru-RU"/>
        </w:rPr>
      </w:pPr>
      <w:r w:rsidRPr="009F0CAC">
        <w:rPr>
          <w:rFonts w:ascii="Times New Roman" w:hAnsi="Times New Roman"/>
          <w:sz w:val="24"/>
          <w:szCs w:val="24"/>
          <w:lang w:val="ru-RU"/>
        </w:rPr>
        <w:t>Д</w:t>
      </w:r>
      <w:r w:rsidRPr="009F0CAC">
        <w:rPr>
          <w:rFonts w:ascii="Times New Roman" w:hAnsi="Times New Roman"/>
          <w:sz w:val="24"/>
          <w:szCs w:val="24"/>
        </w:rPr>
        <w:t> </w:t>
      </w:r>
      <w:r w:rsidRPr="009F0CAC">
        <w:rPr>
          <w:rFonts w:ascii="Times New Roman" w:hAnsi="Times New Roman"/>
          <w:sz w:val="24"/>
          <w:szCs w:val="24"/>
          <w:lang w:val="ru-RU"/>
        </w:rPr>
        <w:t>20 – К</w:t>
      </w:r>
      <w:r w:rsidRPr="009F0CAC">
        <w:rPr>
          <w:rFonts w:ascii="Times New Roman" w:hAnsi="Times New Roman"/>
          <w:sz w:val="24"/>
          <w:szCs w:val="24"/>
        </w:rPr>
        <w:t> </w:t>
      </w:r>
      <w:r w:rsidRPr="009F0CAC">
        <w:rPr>
          <w:rFonts w:ascii="Times New Roman" w:hAnsi="Times New Roman"/>
          <w:sz w:val="24"/>
          <w:szCs w:val="24"/>
          <w:lang w:val="ru-RU"/>
        </w:rPr>
        <w:t>60</w:t>
      </w:r>
      <w:r w:rsidRPr="009F0CAC">
        <w:rPr>
          <w:rFonts w:ascii="Times New Roman" w:hAnsi="Times New Roman"/>
          <w:sz w:val="24"/>
          <w:szCs w:val="24"/>
          <w:lang w:val="ru-RU"/>
        </w:rPr>
        <w:tab/>
        <w:t>признаны фактические затраты на работы, осуществленные подрядчиками</w:t>
      </w:r>
    </w:p>
    <w:p w:rsidR="009F0CAC" w:rsidRPr="009F0CAC" w:rsidRDefault="009F0CAC" w:rsidP="009D0D3E">
      <w:pPr>
        <w:spacing w:before="120" w:after="0" w:line="360" w:lineRule="auto"/>
        <w:ind w:left="3119" w:hanging="3119"/>
        <w:rPr>
          <w:rFonts w:ascii="Times New Roman" w:hAnsi="Times New Roman"/>
          <w:sz w:val="24"/>
          <w:szCs w:val="24"/>
          <w:lang w:val="ru-RU"/>
        </w:rPr>
      </w:pPr>
      <w:r w:rsidRPr="009F0CAC">
        <w:rPr>
          <w:rFonts w:ascii="Times New Roman" w:hAnsi="Times New Roman"/>
          <w:sz w:val="24"/>
          <w:szCs w:val="24"/>
          <w:lang w:val="ru-RU"/>
        </w:rPr>
        <w:lastRenderedPageBreak/>
        <w:t>Д</w:t>
      </w:r>
      <w:r w:rsidRPr="009F0CAC">
        <w:rPr>
          <w:rFonts w:ascii="Times New Roman" w:hAnsi="Times New Roman"/>
          <w:sz w:val="24"/>
          <w:szCs w:val="24"/>
        </w:rPr>
        <w:t> </w:t>
      </w:r>
      <w:r w:rsidRPr="009F0CAC">
        <w:rPr>
          <w:rFonts w:ascii="Times New Roman" w:hAnsi="Times New Roman"/>
          <w:sz w:val="24"/>
          <w:szCs w:val="24"/>
          <w:lang w:val="ru-RU"/>
        </w:rPr>
        <w:t>20 – К</w:t>
      </w:r>
      <w:r w:rsidRPr="009F0CAC">
        <w:rPr>
          <w:rFonts w:ascii="Times New Roman" w:hAnsi="Times New Roman"/>
          <w:sz w:val="24"/>
          <w:szCs w:val="24"/>
        </w:rPr>
        <w:t> </w:t>
      </w:r>
      <w:r w:rsidRPr="009F0CAC">
        <w:rPr>
          <w:rFonts w:ascii="Times New Roman" w:hAnsi="Times New Roman"/>
          <w:sz w:val="24"/>
          <w:szCs w:val="24"/>
          <w:lang w:val="ru-RU"/>
        </w:rPr>
        <w:t>10,60,70,02 и др.</w:t>
      </w:r>
      <w:r w:rsidRPr="009F0CAC">
        <w:rPr>
          <w:rFonts w:ascii="Times New Roman" w:hAnsi="Times New Roman"/>
          <w:sz w:val="24"/>
          <w:szCs w:val="24"/>
          <w:lang w:val="ru-RU"/>
        </w:rPr>
        <w:tab/>
        <w:t>признаны другие фактические затраты на исполнение договора</w:t>
      </w:r>
    </w:p>
    <w:p w:rsidR="009F0CAC" w:rsidRPr="009F0CAC" w:rsidRDefault="009F0CAC" w:rsidP="009D0D3E">
      <w:pPr>
        <w:spacing w:before="120" w:after="0" w:line="360" w:lineRule="auto"/>
        <w:ind w:left="3119" w:hanging="3119"/>
        <w:rPr>
          <w:rFonts w:ascii="Times New Roman" w:hAnsi="Times New Roman"/>
          <w:sz w:val="24"/>
          <w:szCs w:val="24"/>
          <w:lang w:val="ru-RU"/>
        </w:rPr>
      </w:pPr>
      <w:r w:rsidRPr="009F0CAC">
        <w:rPr>
          <w:rFonts w:ascii="Times New Roman" w:hAnsi="Times New Roman"/>
          <w:sz w:val="24"/>
          <w:szCs w:val="24"/>
          <w:lang w:val="ru-RU"/>
        </w:rPr>
        <w:t>Д</w:t>
      </w:r>
      <w:r w:rsidRPr="009F0CAC">
        <w:rPr>
          <w:rFonts w:ascii="Times New Roman" w:hAnsi="Times New Roman"/>
          <w:sz w:val="24"/>
          <w:szCs w:val="24"/>
        </w:rPr>
        <w:t> </w:t>
      </w:r>
      <w:r w:rsidRPr="009F0CAC">
        <w:rPr>
          <w:rFonts w:ascii="Times New Roman" w:hAnsi="Times New Roman"/>
          <w:sz w:val="24"/>
          <w:szCs w:val="24"/>
          <w:lang w:val="ru-RU"/>
        </w:rPr>
        <w:t>46 – К</w:t>
      </w:r>
      <w:r w:rsidRPr="009F0CAC">
        <w:rPr>
          <w:rFonts w:ascii="Times New Roman" w:hAnsi="Times New Roman"/>
          <w:sz w:val="24"/>
          <w:szCs w:val="24"/>
        </w:rPr>
        <w:t> </w:t>
      </w:r>
      <w:r w:rsidRPr="009F0CAC">
        <w:rPr>
          <w:rFonts w:ascii="Times New Roman" w:hAnsi="Times New Roman"/>
          <w:sz w:val="24"/>
          <w:szCs w:val="24"/>
          <w:lang w:val="ru-RU"/>
        </w:rPr>
        <w:t>90</w:t>
      </w:r>
      <w:r w:rsidRPr="009F0CAC">
        <w:rPr>
          <w:rFonts w:ascii="Times New Roman" w:hAnsi="Times New Roman"/>
          <w:sz w:val="24"/>
          <w:szCs w:val="24"/>
          <w:lang w:val="ru-RU"/>
        </w:rPr>
        <w:tab/>
        <w:t>признана доля выручки, приходящаяся на оцененную степень завершенности строительства</w:t>
      </w:r>
    </w:p>
    <w:p w:rsidR="009F0CAC" w:rsidRPr="009F0CAC" w:rsidRDefault="009F0CAC" w:rsidP="009D0D3E">
      <w:pPr>
        <w:spacing w:before="120" w:after="0" w:line="360" w:lineRule="auto"/>
        <w:ind w:left="3119" w:hanging="3119"/>
        <w:rPr>
          <w:rFonts w:ascii="Times New Roman" w:hAnsi="Times New Roman"/>
          <w:sz w:val="24"/>
          <w:szCs w:val="24"/>
          <w:lang w:val="ru-RU"/>
        </w:rPr>
      </w:pPr>
      <w:r w:rsidRPr="009F0CAC">
        <w:rPr>
          <w:rFonts w:ascii="Times New Roman" w:hAnsi="Times New Roman"/>
          <w:sz w:val="24"/>
          <w:szCs w:val="24"/>
          <w:lang w:val="ru-RU"/>
        </w:rPr>
        <w:t>Д</w:t>
      </w:r>
      <w:r w:rsidRPr="009F0CAC">
        <w:rPr>
          <w:rFonts w:ascii="Times New Roman" w:hAnsi="Times New Roman"/>
          <w:sz w:val="24"/>
          <w:szCs w:val="24"/>
        </w:rPr>
        <w:t> </w:t>
      </w:r>
      <w:r w:rsidRPr="009F0CAC">
        <w:rPr>
          <w:rFonts w:ascii="Times New Roman" w:hAnsi="Times New Roman"/>
          <w:sz w:val="24"/>
          <w:szCs w:val="24"/>
          <w:lang w:val="ru-RU"/>
        </w:rPr>
        <w:t>90 – К</w:t>
      </w:r>
      <w:r w:rsidRPr="009F0CAC">
        <w:rPr>
          <w:rFonts w:ascii="Times New Roman" w:hAnsi="Times New Roman"/>
          <w:sz w:val="24"/>
          <w:szCs w:val="24"/>
        </w:rPr>
        <w:t> </w:t>
      </w:r>
      <w:r w:rsidRPr="009F0CAC">
        <w:rPr>
          <w:rFonts w:ascii="Times New Roman" w:hAnsi="Times New Roman"/>
          <w:sz w:val="24"/>
          <w:szCs w:val="24"/>
          <w:lang w:val="ru-RU"/>
        </w:rPr>
        <w:t>20</w:t>
      </w:r>
      <w:r w:rsidRPr="009F0CAC">
        <w:rPr>
          <w:rFonts w:ascii="Times New Roman" w:hAnsi="Times New Roman"/>
          <w:sz w:val="24"/>
          <w:szCs w:val="24"/>
          <w:lang w:val="ru-RU"/>
        </w:rPr>
        <w:tab/>
        <w:t>списаны затраты, приходящиеся на признанную выручку</w:t>
      </w:r>
    </w:p>
    <w:p w:rsidR="009F0CAC" w:rsidRPr="009F0CAC" w:rsidRDefault="009F0CAC" w:rsidP="009D0D3E">
      <w:pPr>
        <w:spacing w:before="120" w:after="0" w:line="360" w:lineRule="auto"/>
        <w:ind w:left="3119" w:hanging="3119"/>
        <w:rPr>
          <w:rFonts w:ascii="Times New Roman" w:hAnsi="Times New Roman"/>
          <w:sz w:val="24"/>
          <w:szCs w:val="24"/>
          <w:lang w:val="ru-RU"/>
        </w:rPr>
      </w:pPr>
      <w:r w:rsidRPr="009F0CAC">
        <w:rPr>
          <w:rFonts w:ascii="Times New Roman" w:hAnsi="Times New Roman"/>
          <w:sz w:val="24"/>
          <w:szCs w:val="24"/>
          <w:lang w:val="ru-RU"/>
        </w:rPr>
        <w:t>Д</w:t>
      </w:r>
      <w:r w:rsidRPr="009F0CAC">
        <w:rPr>
          <w:rFonts w:ascii="Times New Roman" w:hAnsi="Times New Roman"/>
          <w:sz w:val="24"/>
          <w:szCs w:val="24"/>
        </w:rPr>
        <w:t> </w:t>
      </w:r>
      <w:r w:rsidRPr="009F0CAC">
        <w:rPr>
          <w:rFonts w:ascii="Times New Roman" w:hAnsi="Times New Roman"/>
          <w:sz w:val="24"/>
          <w:szCs w:val="24"/>
          <w:lang w:val="ru-RU"/>
        </w:rPr>
        <w:t>62 – К</w:t>
      </w:r>
      <w:r w:rsidRPr="009F0CAC">
        <w:rPr>
          <w:rFonts w:ascii="Times New Roman" w:hAnsi="Times New Roman"/>
          <w:sz w:val="24"/>
          <w:szCs w:val="24"/>
        </w:rPr>
        <w:t> </w:t>
      </w:r>
      <w:r w:rsidRPr="009F0CAC">
        <w:rPr>
          <w:rFonts w:ascii="Times New Roman" w:hAnsi="Times New Roman"/>
          <w:sz w:val="24"/>
          <w:szCs w:val="24"/>
          <w:lang w:val="ru-RU"/>
        </w:rPr>
        <w:t>46</w:t>
      </w:r>
      <w:r w:rsidRPr="009F0CAC">
        <w:rPr>
          <w:rFonts w:ascii="Times New Roman" w:hAnsi="Times New Roman"/>
          <w:sz w:val="24"/>
          <w:szCs w:val="24"/>
          <w:lang w:val="ru-RU"/>
        </w:rPr>
        <w:tab/>
        <w:t>квартира передана дольщику</w:t>
      </w:r>
    </w:p>
    <w:p w:rsidR="009F0CAC" w:rsidRPr="009F0CAC" w:rsidRDefault="009F0CAC" w:rsidP="009D0D3E">
      <w:pPr>
        <w:spacing w:before="120" w:after="0" w:line="360" w:lineRule="auto"/>
        <w:jc w:val="both"/>
        <w:rPr>
          <w:rFonts w:ascii="Times New Roman" w:hAnsi="Times New Roman"/>
          <w:sz w:val="24"/>
          <w:szCs w:val="24"/>
          <w:lang w:val="ru-RU"/>
        </w:rPr>
      </w:pPr>
      <w:proofErr w:type="gramStart"/>
      <w:r w:rsidRPr="009F0CAC">
        <w:rPr>
          <w:rFonts w:ascii="Times New Roman" w:hAnsi="Times New Roman"/>
          <w:sz w:val="24"/>
          <w:szCs w:val="24"/>
          <w:lang w:val="ru-RU"/>
        </w:rPr>
        <w:t>Что касается раскрытия в бухгалтерской отчетности застройщика информации по договорам долевого строительства, то здесь следует придерживаться Рекомендаций аудиторским организациям, индивидуальным аудиторам, аудиторам по проведению аудита годовой бухгалтерской отчетности организаций за 2007 год (письмо Департамента регулирования государственного финансового контроля, аудиторской деятельности, бухгалтерского учета и отчетности Министерства финансов Российской Федерации от  29 января 2008 г. № 07-05-06/18).</w:t>
      </w:r>
      <w:proofErr w:type="gramEnd"/>
    </w:p>
    <w:p w:rsidR="000731C4" w:rsidRDefault="000731C4" w:rsidP="009D0D3E">
      <w:pPr>
        <w:pStyle w:val="ad"/>
        <w:spacing w:before="0" w:beforeAutospacing="0" w:after="0" w:afterAutospacing="0" w:line="360" w:lineRule="auto"/>
        <w:ind w:firstLine="709"/>
        <w:jc w:val="both"/>
      </w:pPr>
    </w:p>
    <w:p w:rsidR="009D0D3E" w:rsidRDefault="009D0D3E" w:rsidP="009D0D3E">
      <w:pPr>
        <w:pStyle w:val="ad"/>
        <w:spacing w:before="0" w:beforeAutospacing="0" w:after="0" w:afterAutospacing="0" w:line="360" w:lineRule="auto"/>
        <w:ind w:firstLine="709"/>
        <w:jc w:val="both"/>
      </w:pPr>
    </w:p>
    <w:p w:rsidR="009D0D3E" w:rsidRPr="004B3E8A" w:rsidRDefault="009D0D3E" w:rsidP="009D0D3E">
      <w:pPr>
        <w:pStyle w:val="ad"/>
        <w:spacing w:before="0" w:beforeAutospacing="0" w:after="0" w:afterAutospacing="0" w:line="360" w:lineRule="auto"/>
        <w:ind w:firstLine="709"/>
        <w:jc w:val="both"/>
      </w:pPr>
    </w:p>
    <w:p w:rsidR="00907B6B" w:rsidRPr="004B3E8A" w:rsidRDefault="00907B6B" w:rsidP="009D0D3E">
      <w:pPr>
        <w:pStyle w:val="ad"/>
        <w:spacing w:before="0" w:beforeAutospacing="0" w:after="0" w:afterAutospacing="0" w:line="360" w:lineRule="auto"/>
        <w:jc w:val="both"/>
      </w:pPr>
    </w:p>
    <w:p w:rsidR="00AE7DAB" w:rsidRPr="004B3E8A" w:rsidRDefault="00AE7DAB" w:rsidP="009D0D3E">
      <w:pPr>
        <w:pStyle w:val="ad"/>
        <w:spacing w:before="0" w:beforeAutospacing="0" w:after="0" w:afterAutospacing="0" w:line="360" w:lineRule="auto"/>
        <w:jc w:val="both"/>
      </w:pPr>
    </w:p>
    <w:sectPr w:rsidR="00AE7DAB" w:rsidRPr="004B3E8A" w:rsidSect="00510F4F">
      <w:headerReference w:type="even" r:id="rId8"/>
      <w:headerReference w:type="default" r:id="rId9"/>
      <w:footerReference w:type="even" r:id="rId10"/>
      <w:footerReference w:type="default" r:id="rId11"/>
      <w:headerReference w:type="first" r:id="rId12"/>
      <w:footerReference w:type="first" r:id="rId13"/>
      <w:pgSz w:w="11907" w:h="16839" w:code="9"/>
      <w:pgMar w:top="567"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099" w:rsidRDefault="00995099">
      <w:pPr>
        <w:spacing w:after="0" w:line="240" w:lineRule="auto"/>
      </w:pPr>
      <w:r>
        <w:separator/>
      </w:r>
    </w:p>
  </w:endnote>
  <w:endnote w:type="continuationSeparator" w:id="0">
    <w:p w:rsidR="00995099" w:rsidRDefault="00995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0D" w:rsidRDefault="00417D0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512650"/>
      <w:docPartObj>
        <w:docPartGallery w:val="Page Numbers (Bottom of Page)"/>
        <w:docPartUnique/>
      </w:docPartObj>
    </w:sdtPr>
    <w:sdtContent>
      <w:p w:rsidR="00417D0D" w:rsidRDefault="00CC74FE">
        <w:pPr>
          <w:pStyle w:val="a6"/>
          <w:jc w:val="right"/>
        </w:pPr>
        <w:r>
          <w:fldChar w:fldCharType="begin"/>
        </w:r>
        <w:r w:rsidR="00417D0D">
          <w:instrText>PAGE   \* MERGEFORMAT</w:instrText>
        </w:r>
        <w:r>
          <w:fldChar w:fldCharType="separate"/>
        </w:r>
        <w:r w:rsidR="00823B70" w:rsidRPr="00823B70">
          <w:rPr>
            <w:noProof/>
            <w:lang w:val="ru-RU"/>
          </w:rPr>
          <w:t>10</w:t>
        </w:r>
        <w:r>
          <w:fldChar w:fldCharType="end"/>
        </w:r>
      </w:p>
    </w:sdtContent>
  </w:sdt>
  <w:p w:rsidR="00E806A5" w:rsidRDefault="0099509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0D" w:rsidRDefault="00417D0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099" w:rsidRDefault="00995099">
      <w:pPr>
        <w:spacing w:after="0" w:line="240" w:lineRule="auto"/>
      </w:pPr>
      <w:r>
        <w:separator/>
      </w:r>
    </w:p>
  </w:footnote>
  <w:footnote w:type="continuationSeparator" w:id="0">
    <w:p w:rsidR="00995099" w:rsidRDefault="009950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0D" w:rsidRDefault="00417D0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0D" w:rsidRDefault="00995099">
    <w:pPr>
      <w:pStyle w:val="a4"/>
      <w:jc w:val="center"/>
    </w:pPr>
  </w:p>
  <w:p w:rsidR="008C3F0D" w:rsidRPr="005B48C0" w:rsidRDefault="00995099" w:rsidP="005B48C0">
    <w:pPr>
      <w:pStyle w:val="a4"/>
      <w:jc w:val="center"/>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0D" w:rsidRDefault="00417D0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19F8"/>
    <w:multiLevelType w:val="multilevel"/>
    <w:tmpl w:val="EC6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51E91"/>
    <w:multiLevelType w:val="hybridMultilevel"/>
    <w:tmpl w:val="905215E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1048EB"/>
    <w:multiLevelType w:val="multilevel"/>
    <w:tmpl w:val="2C66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E21AF8"/>
    <w:multiLevelType w:val="multilevel"/>
    <w:tmpl w:val="8BFA7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5962E1"/>
    <w:multiLevelType w:val="hybridMultilevel"/>
    <w:tmpl w:val="6096E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9C488B"/>
    <w:multiLevelType w:val="hybridMultilevel"/>
    <w:tmpl w:val="95F664E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D695A1A"/>
    <w:multiLevelType w:val="hybridMultilevel"/>
    <w:tmpl w:val="13121F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110444"/>
    <w:multiLevelType w:val="multilevel"/>
    <w:tmpl w:val="C348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C84261"/>
    <w:multiLevelType w:val="multilevel"/>
    <w:tmpl w:val="90C6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D6715B"/>
    <w:multiLevelType w:val="multilevel"/>
    <w:tmpl w:val="90C6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835B3E"/>
    <w:multiLevelType w:val="hybridMultilevel"/>
    <w:tmpl w:val="56CA1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0E7ACB"/>
    <w:multiLevelType w:val="multilevel"/>
    <w:tmpl w:val="2C66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661C49"/>
    <w:multiLevelType w:val="hybridMultilevel"/>
    <w:tmpl w:val="C0D2F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D11B61"/>
    <w:multiLevelType w:val="hybridMultilevel"/>
    <w:tmpl w:val="F8BA8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0773BB"/>
    <w:multiLevelType w:val="hybridMultilevel"/>
    <w:tmpl w:val="97D2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E456CA"/>
    <w:multiLevelType w:val="hybridMultilevel"/>
    <w:tmpl w:val="A266C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0F5827"/>
    <w:multiLevelType w:val="multilevel"/>
    <w:tmpl w:val="90C6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DA4783"/>
    <w:multiLevelType w:val="hybridMultilevel"/>
    <w:tmpl w:val="498877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CA38E9"/>
    <w:multiLevelType w:val="hybridMultilevel"/>
    <w:tmpl w:val="1E6A3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44D1D36"/>
    <w:multiLevelType w:val="hybridMultilevel"/>
    <w:tmpl w:val="99DE6366"/>
    <w:lvl w:ilvl="0" w:tplc="8772B922">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66EE0801"/>
    <w:multiLevelType w:val="multilevel"/>
    <w:tmpl w:val="6B6A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1851DD"/>
    <w:multiLevelType w:val="hybridMultilevel"/>
    <w:tmpl w:val="FFEA69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852696"/>
    <w:multiLevelType w:val="multilevel"/>
    <w:tmpl w:val="F452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3A568A"/>
    <w:multiLevelType w:val="hybridMultilevel"/>
    <w:tmpl w:val="DD382A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CA4BEF"/>
    <w:multiLevelType w:val="hybridMultilevel"/>
    <w:tmpl w:val="992818E8"/>
    <w:lvl w:ilvl="0" w:tplc="A23C5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BED7605"/>
    <w:multiLevelType w:val="hybridMultilevel"/>
    <w:tmpl w:val="C05E6B0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3"/>
  </w:num>
  <w:num w:numId="4">
    <w:abstractNumId w:val="2"/>
  </w:num>
  <w:num w:numId="5">
    <w:abstractNumId w:val="8"/>
  </w:num>
  <w:num w:numId="6">
    <w:abstractNumId w:val="7"/>
  </w:num>
  <w:num w:numId="7">
    <w:abstractNumId w:val="11"/>
  </w:num>
  <w:num w:numId="8">
    <w:abstractNumId w:val="16"/>
  </w:num>
  <w:num w:numId="9">
    <w:abstractNumId w:val="9"/>
  </w:num>
  <w:num w:numId="10">
    <w:abstractNumId w:val="24"/>
  </w:num>
  <w:num w:numId="11">
    <w:abstractNumId w:val="17"/>
  </w:num>
  <w:num w:numId="12">
    <w:abstractNumId w:val="0"/>
  </w:num>
  <w:num w:numId="13">
    <w:abstractNumId w:val="20"/>
  </w:num>
  <w:num w:numId="14">
    <w:abstractNumId w:val="22"/>
  </w:num>
  <w:num w:numId="15">
    <w:abstractNumId w:val="12"/>
  </w:num>
  <w:num w:numId="16">
    <w:abstractNumId w:val="1"/>
  </w:num>
  <w:num w:numId="17">
    <w:abstractNumId w:val="25"/>
  </w:num>
  <w:num w:numId="18">
    <w:abstractNumId w:val="18"/>
  </w:num>
  <w:num w:numId="19">
    <w:abstractNumId w:val="5"/>
  </w:num>
  <w:num w:numId="20">
    <w:abstractNumId w:val="19"/>
  </w:num>
  <w:num w:numId="21">
    <w:abstractNumId w:val="13"/>
  </w:num>
  <w:num w:numId="22">
    <w:abstractNumId w:val="10"/>
  </w:num>
  <w:num w:numId="23">
    <w:abstractNumId w:val="21"/>
  </w:num>
  <w:num w:numId="24">
    <w:abstractNumId w:val="15"/>
  </w:num>
  <w:num w:numId="25">
    <w:abstractNumId w:val="6"/>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AF2D6A"/>
    <w:rsid w:val="000209ED"/>
    <w:rsid w:val="00023FD9"/>
    <w:rsid w:val="000276A0"/>
    <w:rsid w:val="00042956"/>
    <w:rsid w:val="000430F0"/>
    <w:rsid w:val="00044EE6"/>
    <w:rsid w:val="000731C4"/>
    <w:rsid w:val="000902CD"/>
    <w:rsid w:val="00091B82"/>
    <w:rsid w:val="00134002"/>
    <w:rsid w:val="00137FFE"/>
    <w:rsid w:val="0014243E"/>
    <w:rsid w:val="0015090C"/>
    <w:rsid w:val="00163932"/>
    <w:rsid w:val="00184266"/>
    <w:rsid w:val="001A0F81"/>
    <w:rsid w:val="001A1B95"/>
    <w:rsid w:val="001B4ABC"/>
    <w:rsid w:val="001B4DA1"/>
    <w:rsid w:val="001E6F2B"/>
    <w:rsid w:val="00212355"/>
    <w:rsid w:val="00214E83"/>
    <w:rsid w:val="00216CC1"/>
    <w:rsid w:val="00225628"/>
    <w:rsid w:val="00225FCD"/>
    <w:rsid w:val="00230282"/>
    <w:rsid w:val="00230E6C"/>
    <w:rsid w:val="0023196F"/>
    <w:rsid w:val="002511BB"/>
    <w:rsid w:val="002817BE"/>
    <w:rsid w:val="0028272A"/>
    <w:rsid w:val="00285F46"/>
    <w:rsid w:val="002908F6"/>
    <w:rsid w:val="002B38F7"/>
    <w:rsid w:val="002B629E"/>
    <w:rsid w:val="003037AD"/>
    <w:rsid w:val="00314A8F"/>
    <w:rsid w:val="003267F3"/>
    <w:rsid w:val="00331D3D"/>
    <w:rsid w:val="00352918"/>
    <w:rsid w:val="003569D1"/>
    <w:rsid w:val="00363109"/>
    <w:rsid w:val="00365212"/>
    <w:rsid w:val="0037767C"/>
    <w:rsid w:val="003A7B75"/>
    <w:rsid w:val="003B3626"/>
    <w:rsid w:val="003C70A0"/>
    <w:rsid w:val="003E03E7"/>
    <w:rsid w:val="003F12B7"/>
    <w:rsid w:val="003F1C46"/>
    <w:rsid w:val="004038E6"/>
    <w:rsid w:val="00417D0D"/>
    <w:rsid w:val="00450817"/>
    <w:rsid w:val="00451327"/>
    <w:rsid w:val="004B06E5"/>
    <w:rsid w:val="004B3E8A"/>
    <w:rsid w:val="004F3682"/>
    <w:rsid w:val="004F415E"/>
    <w:rsid w:val="004F60B5"/>
    <w:rsid w:val="00510F4F"/>
    <w:rsid w:val="00513B9A"/>
    <w:rsid w:val="00521907"/>
    <w:rsid w:val="00544FA9"/>
    <w:rsid w:val="00567E50"/>
    <w:rsid w:val="00585345"/>
    <w:rsid w:val="00585430"/>
    <w:rsid w:val="005E67E3"/>
    <w:rsid w:val="0064419B"/>
    <w:rsid w:val="00664A59"/>
    <w:rsid w:val="006852B3"/>
    <w:rsid w:val="00693FCE"/>
    <w:rsid w:val="006B5942"/>
    <w:rsid w:val="006F715B"/>
    <w:rsid w:val="00713735"/>
    <w:rsid w:val="0071450A"/>
    <w:rsid w:val="00723FD9"/>
    <w:rsid w:val="0074371C"/>
    <w:rsid w:val="00751CF1"/>
    <w:rsid w:val="00770D37"/>
    <w:rsid w:val="00783745"/>
    <w:rsid w:val="007909D6"/>
    <w:rsid w:val="00791817"/>
    <w:rsid w:val="007D0985"/>
    <w:rsid w:val="007F1269"/>
    <w:rsid w:val="007F710D"/>
    <w:rsid w:val="00814054"/>
    <w:rsid w:val="00821966"/>
    <w:rsid w:val="00823B70"/>
    <w:rsid w:val="00846BB6"/>
    <w:rsid w:val="00847584"/>
    <w:rsid w:val="008A7BCB"/>
    <w:rsid w:val="008B642B"/>
    <w:rsid w:val="008C7812"/>
    <w:rsid w:val="008D38DD"/>
    <w:rsid w:val="008E6E98"/>
    <w:rsid w:val="00907B6B"/>
    <w:rsid w:val="00953598"/>
    <w:rsid w:val="00957F4C"/>
    <w:rsid w:val="009611B4"/>
    <w:rsid w:val="0098442E"/>
    <w:rsid w:val="009924F6"/>
    <w:rsid w:val="00993199"/>
    <w:rsid w:val="00995099"/>
    <w:rsid w:val="009953C4"/>
    <w:rsid w:val="009B2EF9"/>
    <w:rsid w:val="009D0D3E"/>
    <w:rsid w:val="009D47E8"/>
    <w:rsid w:val="009D550F"/>
    <w:rsid w:val="009E06F1"/>
    <w:rsid w:val="009E462E"/>
    <w:rsid w:val="009E53DA"/>
    <w:rsid w:val="009F0CAC"/>
    <w:rsid w:val="00A078E1"/>
    <w:rsid w:val="00A10523"/>
    <w:rsid w:val="00A2154D"/>
    <w:rsid w:val="00A22941"/>
    <w:rsid w:val="00A719FA"/>
    <w:rsid w:val="00A77DD2"/>
    <w:rsid w:val="00A82340"/>
    <w:rsid w:val="00AA61C4"/>
    <w:rsid w:val="00AB2551"/>
    <w:rsid w:val="00AD1B72"/>
    <w:rsid w:val="00AE0657"/>
    <w:rsid w:val="00AE27B7"/>
    <w:rsid w:val="00AE61D7"/>
    <w:rsid w:val="00AE7DAB"/>
    <w:rsid w:val="00AF0BEF"/>
    <w:rsid w:val="00AF2D6A"/>
    <w:rsid w:val="00AF5DD6"/>
    <w:rsid w:val="00B11BAB"/>
    <w:rsid w:val="00B1744E"/>
    <w:rsid w:val="00B32A2F"/>
    <w:rsid w:val="00B41A54"/>
    <w:rsid w:val="00B45765"/>
    <w:rsid w:val="00B4762B"/>
    <w:rsid w:val="00B71808"/>
    <w:rsid w:val="00BA6596"/>
    <w:rsid w:val="00BD1212"/>
    <w:rsid w:val="00BE1016"/>
    <w:rsid w:val="00BE33DE"/>
    <w:rsid w:val="00BE724F"/>
    <w:rsid w:val="00C30B83"/>
    <w:rsid w:val="00C35B3B"/>
    <w:rsid w:val="00C6509A"/>
    <w:rsid w:val="00C71C4F"/>
    <w:rsid w:val="00CC74FE"/>
    <w:rsid w:val="00CC7710"/>
    <w:rsid w:val="00CD3D6E"/>
    <w:rsid w:val="00CE7FFD"/>
    <w:rsid w:val="00D13219"/>
    <w:rsid w:val="00D7694E"/>
    <w:rsid w:val="00D85DA0"/>
    <w:rsid w:val="00DA262C"/>
    <w:rsid w:val="00DB5806"/>
    <w:rsid w:val="00DC11E8"/>
    <w:rsid w:val="00DC4C65"/>
    <w:rsid w:val="00DD3BA1"/>
    <w:rsid w:val="00DE0A5B"/>
    <w:rsid w:val="00DF6D1D"/>
    <w:rsid w:val="00DF6ECA"/>
    <w:rsid w:val="00E14F2E"/>
    <w:rsid w:val="00E15703"/>
    <w:rsid w:val="00E164ED"/>
    <w:rsid w:val="00E563D8"/>
    <w:rsid w:val="00E61037"/>
    <w:rsid w:val="00E72677"/>
    <w:rsid w:val="00E90128"/>
    <w:rsid w:val="00E95876"/>
    <w:rsid w:val="00ED74AD"/>
    <w:rsid w:val="00EE1DDF"/>
    <w:rsid w:val="00EF7CD4"/>
    <w:rsid w:val="00F00F08"/>
    <w:rsid w:val="00F07BC6"/>
    <w:rsid w:val="00F50975"/>
    <w:rsid w:val="00F51EB2"/>
    <w:rsid w:val="00F5664A"/>
    <w:rsid w:val="00F90270"/>
    <w:rsid w:val="00FD1EEE"/>
    <w:rsid w:val="00FD4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D6A"/>
    <w:pPr>
      <w:spacing w:after="200" w:line="276" w:lineRule="auto"/>
    </w:pPr>
    <w:rPr>
      <w:rFonts w:ascii="Calibri" w:eastAsia="Times New Roman" w:hAnsi="Calibri" w:cs="Times New Roman"/>
      <w:lang w:val="en-US"/>
    </w:rPr>
  </w:style>
  <w:style w:type="paragraph" w:styleId="1">
    <w:name w:val="heading 1"/>
    <w:basedOn w:val="a"/>
    <w:next w:val="a"/>
    <w:link w:val="10"/>
    <w:uiPriority w:val="9"/>
    <w:qFormat/>
    <w:rsid w:val="007F710D"/>
    <w:pPr>
      <w:keepNext/>
      <w:keepLines/>
      <w:spacing w:before="120" w:after="0"/>
      <w:jc w:val="center"/>
      <w:outlineLvl w:val="0"/>
    </w:pPr>
    <w:rPr>
      <w:rFonts w:eastAsiaTheme="majorEastAsia" w:cstheme="majorBidi"/>
      <w:b/>
      <w:bCs/>
      <w:color w:val="006666"/>
      <w:spacing w:val="20"/>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F2D6A"/>
    <w:rPr>
      <w:rFonts w:cs="Times New Roman"/>
      <w:color w:val="0000FF"/>
      <w:u w:val="single"/>
    </w:rPr>
  </w:style>
  <w:style w:type="paragraph" w:styleId="a4">
    <w:name w:val="header"/>
    <w:basedOn w:val="a"/>
    <w:link w:val="a5"/>
    <w:rsid w:val="00AF2D6A"/>
    <w:pPr>
      <w:tabs>
        <w:tab w:val="center" w:pos="4844"/>
        <w:tab w:val="right" w:pos="9689"/>
      </w:tabs>
      <w:spacing w:after="0" w:line="240" w:lineRule="auto"/>
    </w:pPr>
    <w:rPr>
      <w:rFonts w:eastAsia="Calibri"/>
      <w:sz w:val="20"/>
      <w:szCs w:val="20"/>
    </w:rPr>
  </w:style>
  <w:style w:type="character" w:customStyle="1" w:styleId="a5">
    <w:name w:val="Верхний колонтитул Знак"/>
    <w:basedOn w:val="a0"/>
    <w:link w:val="a4"/>
    <w:uiPriority w:val="99"/>
    <w:rsid w:val="00AF2D6A"/>
    <w:rPr>
      <w:rFonts w:ascii="Calibri" w:eastAsia="Calibri" w:hAnsi="Calibri" w:cs="Times New Roman"/>
      <w:sz w:val="20"/>
      <w:szCs w:val="20"/>
    </w:rPr>
  </w:style>
  <w:style w:type="paragraph" w:styleId="a6">
    <w:name w:val="footer"/>
    <w:basedOn w:val="a"/>
    <w:link w:val="a7"/>
    <w:uiPriority w:val="99"/>
    <w:rsid w:val="00AF2D6A"/>
    <w:pPr>
      <w:tabs>
        <w:tab w:val="center" w:pos="4844"/>
        <w:tab w:val="right" w:pos="9689"/>
      </w:tabs>
      <w:spacing w:after="0" w:line="240" w:lineRule="auto"/>
    </w:pPr>
    <w:rPr>
      <w:rFonts w:eastAsia="Calibri"/>
      <w:sz w:val="20"/>
      <w:szCs w:val="20"/>
    </w:rPr>
  </w:style>
  <w:style w:type="character" w:customStyle="1" w:styleId="a7">
    <w:name w:val="Нижний колонтитул Знак"/>
    <w:basedOn w:val="a0"/>
    <w:link w:val="a6"/>
    <w:uiPriority w:val="99"/>
    <w:rsid w:val="00AF2D6A"/>
    <w:rPr>
      <w:rFonts w:ascii="Calibri" w:eastAsia="Calibri" w:hAnsi="Calibri" w:cs="Times New Roman"/>
      <w:sz w:val="20"/>
      <w:szCs w:val="20"/>
    </w:rPr>
  </w:style>
  <w:style w:type="character" w:styleId="a8">
    <w:name w:val="Strong"/>
    <w:uiPriority w:val="22"/>
    <w:qFormat/>
    <w:rsid w:val="00AF2D6A"/>
    <w:rPr>
      <w:b/>
      <w:bCs/>
    </w:rPr>
  </w:style>
  <w:style w:type="character" w:styleId="a9">
    <w:name w:val="annotation reference"/>
    <w:basedOn w:val="a0"/>
    <w:uiPriority w:val="99"/>
    <w:semiHidden/>
    <w:unhideWhenUsed/>
    <w:rsid w:val="00C30B83"/>
    <w:rPr>
      <w:sz w:val="16"/>
      <w:szCs w:val="16"/>
    </w:rPr>
  </w:style>
  <w:style w:type="paragraph" w:styleId="aa">
    <w:name w:val="annotation text"/>
    <w:basedOn w:val="a"/>
    <w:link w:val="ab"/>
    <w:uiPriority w:val="99"/>
    <w:semiHidden/>
    <w:unhideWhenUsed/>
    <w:rsid w:val="00C30B83"/>
    <w:pPr>
      <w:spacing w:line="240" w:lineRule="auto"/>
    </w:pPr>
    <w:rPr>
      <w:rFonts w:asciiTheme="minorHAnsi" w:eastAsiaTheme="minorHAnsi" w:hAnsiTheme="minorHAnsi" w:cstheme="minorBidi"/>
      <w:sz w:val="20"/>
      <w:szCs w:val="20"/>
      <w:lang w:val="ru-RU"/>
    </w:rPr>
  </w:style>
  <w:style w:type="character" w:customStyle="1" w:styleId="ab">
    <w:name w:val="Текст примечания Знак"/>
    <w:basedOn w:val="a0"/>
    <w:link w:val="aa"/>
    <w:uiPriority w:val="99"/>
    <w:semiHidden/>
    <w:rsid w:val="00C30B83"/>
    <w:rPr>
      <w:sz w:val="20"/>
      <w:szCs w:val="20"/>
    </w:rPr>
  </w:style>
  <w:style w:type="paragraph" w:styleId="ac">
    <w:name w:val="List Paragraph"/>
    <w:basedOn w:val="a"/>
    <w:uiPriority w:val="34"/>
    <w:qFormat/>
    <w:rsid w:val="00C30B83"/>
    <w:pPr>
      <w:ind w:left="720"/>
      <w:contextualSpacing/>
    </w:pPr>
    <w:rPr>
      <w:rFonts w:asciiTheme="minorHAnsi" w:eastAsiaTheme="minorHAnsi" w:hAnsiTheme="minorHAnsi" w:cstheme="minorBidi"/>
      <w:lang w:val="ru-RU"/>
    </w:rPr>
  </w:style>
  <w:style w:type="paragraph" w:styleId="ad">
    <w:name w:val="Normal (Web)"/>
    <w:basedOn w:val="a"/>
    <w:uiPriority w:val="99"/>
    <w:unhideWhenUsed/>
    <w:rsid w:val="00B4762B"/>
    <w:pPr>
      <w:spacing w:before="100" w:beforeAutospacing="1" w:after="100" w:afterAutospacing="1" w:line="240" w:lineRule="auto"/>
    </w:pPr>
    <w:rPr>
      <w:rFonts w:ascii="Times New Roman" w:hAnsi="Times New Roman"/>
      <w:sz w:val="24"/>
      <w:szCs w:val="24"/>
      <w:lang w:val="ru-RU" w:eastAsia="ru-RU"/>
    </w:rPr>
  </w:style>
  <w:style w:type="table" w:styleId="ae">
    <w:name w:val="Table Grid"/>
    <w:basedOn w:val="a1"/>
    <w:uiPriority w:val="39"/>
    <w:rsid w:val="00230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719FA"/>
  </w:style>
  <w:style w:type="paragraph" w:styleId="af">
    <w:name w:val="Balloon Text"/>
    <w:basedOn w:val="a"/>
    <w:link w:val="af0"/>
    <w:uiPriority w:val="99"/>
    <w:semiHidden/>
    <w:unhideWhenUsed/>
    <w:rsid w:val="003037A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037AD"/>
    <w:rPr>
      <w:rFonts w:ascii="Tahoma" w:eastAsia="Times New Roman" w:hAnsi="Tahoma" w:cs="Tahoma"/>
      <w:sz w:val="16"/>
      <w:szCs w:val="16"/>
      <w:lang w:val="en-US"/>
    </w:rPr>
  </w:style>
  <w:style w:type="character" w:customStyle="1" w:styleId="10">
    <w:name w:val="Заголовок 1 Знак"/>
    <w:basedOn w:val="a0"/>
    <w:link w:val="1"/>
    <w:uiPriority w:val="9"/>
    <w:rsid w:val="007F710D"/>
    <w:rPr>
      <w:rFonts w:ascii="Calibri" w:eastAsiaTheme="majorEastAsia" w:hAnsi="Calibri" w:cstheme="majorBidi"/>
      <w:b/>
      <w:bCs/>
      <w:color w:val="006666"/>
      <w:spacing w:val="20"/>
      <w:sz w:val="28"/>
      <w:szCs w:val="28"/>
    </w:rPr>
  </w:style>
  <w:style w:type="paragraph" w:styleId="af1">
    <w:name w:val="Subtitle"/>
    <w:basedOn w:val="a"/>
    <w:next w:val="a"/>
    <w:link w:val="af2"/>
    <w:uiPriority w:val="99"/>
    <w:qFormat/>
    <w:rsid w:val="007F710D"/>
    <w:pPr>
      <w:keepNext/>
      <w:keepLines/>
      <w:numPr>
        <w:ilvl w:val="1"/>
      </w:numPr>
      <w:spacing w:before="240" w:after="0"/>
      <w:ind w:firstLine="567"/>
      <w:jc w:val="center"/>
    </w:pPr>
    <w:rPr>
      <w:rFonts w:ascii="Times New Roman CYR" w:hAnsi="Times New Roman CYR"/>
      <w:b/>
      <w:iCs/>
      <w:color w:val="006666"/>
      <w:spacing w:val="20"/>
      <w:sz w:val="24"/>
      <w:szCs w:val="24"/>
      <w:lang w:val="ru-RU"/>
    </w:rPr>
  </w:style>
  <w:style w:type="character" w:customStyle="1" w:styleId="af2">
    <w:name w:val="Подзаголовок Знак"/>
    <w:basedOn w:val="a0"/>
    <w:link w:val="af1"/>
    <w:uiPriority w:val="99"/>
    <w:rsid w:val="007F710D"/>
    <w:rPr>
      <w:rFonts w:ascii="Times New Roman CYR" w:eastAsia="Times New Roman" w:hAnsi="Times New Roman CYR" w:cs="Times New Roman"/>
      <w:b/>
      <w:iCs/>
      <w:color w:val="006666"/>
      <w:spacing w:val="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D6A"/>
    <w:pPr>
      <w:spacing w:after="200" w:line="276" w:lineRule="auto"/>
    </w:pPr>
    <w:rPr>
      <w:rFonts w:ascii="Calibri" w:eastAsia="Times New Roman" w:hAnsi="Calibri" w:cs="Times New Roman"/>
      <w:lang w:val="en-US"/>
    </w:rPr>
  </w:style>
  <w:style w:type="paragraph" w:styleId="1">
    <w:name w:val="heading 1"/>
    <w:basedOn w:val="a"/>
    <w:next w:val="a"/>
    <w:link w:val="10"/>
    <w:uiPriority w:val="9"/>
    <w:qFormat/>
    <w:rsid w:val="007F710D"/>
    <w:pPr>
      <w:keepNext/>
      <w:keepLines/>
      <w:spacing w:before="120" w:after="0"/>
      <w:jc w:val="center"/>
      <w:outlineLvl w:val="0"/>
    </w:pPr>
    <w:rPr>
      <w:rFonts w:eastAsiaTheme="majorEastAsia" w:cstheme="majorBidi"/>
      <w:b/>
      <w:bCs/>
      <w:color w:val="006666"/>
      <w:spacing w:val="20"/>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F2D6A"/>
    <w:rPr>
      <w:rFonts w:cs="Times New Roman"/>
      <w:color w:val="0000FF"/>
      <w:u w:val="single"/>
    </w:rPr>
  </w:style>
  <w:style w:type="paragraph" w:styleId="a4">
    <w:name w:val="header"/>
    <w:basedOn w:val="a"/>
    <w:link w:val="a5"/>
    <w:rsid w:val="00AF2D6A"/>
    <w:pPr>
      <w:tabs>
        <w:tab w:val="center" w:pos="4844"/>
        <w:tab w:val="right" w:pos="9689"/>
      </w:tabs>
      <w:spacing w:after="0" w:line="240" w:lineRule="auto"/>
    </w:pPr>
    <w:rPr>
      <w:rFonts w:eastAsia="Calibri"/>
      <w:sz w:val="20"/>
      <w:szCs w:val="20"/>
    </w:rPr>
  </w:style>
  <w:style w:type="character" w:customStyle="1" w:styleId="a5">
    <w:name w:val="Верхний колонтитул Знак"/>
    <w:basedOn w:val="a0"/>
    <w:link w:val="a4"/>
    <w:uiPriority w:val="99"/>
    <w:rsid w:val="00AF2D6A"/>
    <w:rPr>
      <w:rFonts w:ascii="Calibri" w:eastAsia="Calibri" w:hAnsi="Calibri" w:cs="Times New Roman"/>
      <w:sz w:val="20"/>
      <w:szCs w:val="20"/>
    </w:rPr>
  </w:style>
  <w:style w:type="paragraph" w:styleId="a6">
    <w:name w:val="footer"/>
    <w:basedOn w:val="a"/>
    <w:link w:val="a7"/>
    <w:uiPriority w:val="99"/>
    <w:rsid w:val="00AF2D6A"/>
    <w:pPr>
      <w:tabs>
        <w:tab w:val="center" w:pos="4844"/>
        <w:tab w:val="right" w:pos="9689"/>
      </w:tabs>
      <w:spacing w:after="0" w:line="240" w:lineRule="auto"/>
    </w:pPr>
    <w:rPr>
      <w:rFonts w:eastAsia="Calibri"/>
      <w:sz w:val="20"/>
      <w:szCs w:val="20"/>
    </w:rPr>
  </w:style>
  <w:style w:type="character" w:customStyle="1" w:styleId="a7">
    <w:name w:val="Нижний колонтитул Знак"/>
    <w:basedOn w:val="a0"/>
    <w:link w:val="a6"/>
    <w:uiPriority w:val="99"/>
    <w:rsid w:val="00AF2D6A"/>
    <w:rPr>
      <w:rFonts w:ascii="Calibri" w:eastAsia="Calibri" w:hAnsi="Calibri" w:cs="Times New Roman"/>
      <w:sz w:val="20"/>
      <w:szCs w:val="20"/>
    </w:rPr>
  </w:style>
  <w:style w:type="character" w:styleId="a8">
    <w:name w:val="Strong"/>
    <w:uiPriority w:val="22"/>
    <w:qFormat/>
    <w:rsid w:val="00AF2D6A"/>
    <w:rPr>
      <w:b/>
      <w:bCs/>
    </w:rPr>
  </w:style>
  <w:style w:type="character" w:styleId="a9">
    <w:name w:val="annotation reference"/>
    <w:basedOn w:val="a0"/>
    <w:uiPriority w:val="99"/>
    <w:semiHidden/>
    <w:unhideWhenUsed/>
    <w:rsid w:val="00C30B83"/>
    <w:rPr>
      <w:sz w:val="16"/>
      <w:szCs w:val="16"/>
    </w:rPr>
  </w:style>
  <w:style w:type="paragraph" w:styleId="aa">
    <w:name w:val="annotation text"/>
    <w:basedOn w:val="a"/>
    <w:link w:val="ab"/>
    <w:uiPriority w:val="99"/>
    <w:semiHidden/>
    <w:unhideWhenUsed/>
    <w:rsid w:val="00C30B83"/>
    <w:pPr>
      <w:spacing w:line="240" w:lineRule="auto"/>
    </w:pPr>
    <w:rPr>
      <w:rFonts w:asciiTheme="minorHAnsi" w:eastAsiaTheme="minorHAnsi" w:hAnsiTheme="minorHAnsi" w:cstheme="minorBidi"/>
      <w:sz w:val="20"/>
      <w:szCs w:val="20"/>
      <w:lang w:val="ru-RU"/>
    </w:rPr>
  </w:style>
  <w:style w:type="character" w:customStyle="1" w:styleId="ab">
    <w:name w:val="Текст примечания Знак"/>
    <w:basedOn w:val="a0"/>
    <w:link w:val="aa"/>
    <w:uiPriority w:val="99"/>
    <w:semiHidden/>
    <w:rsid w:val="00C30B83"/>
    <w:rPr>
      <w:sz w:val="20"/>
      <w:szCs w:val="20"/>
    </w:rPr>
  </w:style>
  <w:style w:type="paragraph" w:styleId="ac">
    <w:name w:val="List Paragraph"/>
    <w:basedOn w:val="a"/>
    <w:uiPriority w:val="34"/>
    <w:qFormat/>
    <w:rsid w:val="00C30B83"/>
    <w:pPr>
      <w:ind w:left="720"/>
      <w:contextualSpacing/>
    </w:pPr>
    <w:rPr>
      <w:rFonts w:asciiTheme="minorHAnsi" w:eastAsiaTheme="minorHAnsi" w:hAnsiTheme="minorHAnsi" w:cstheme="minorBidi"/>
      <w:lang w:val="ru-RU"/>
    </w:rPr>
  </w:style>
  <w:style w:type="paragraph" w:styleId="ad">
    <w:name w:val="Normal (Web)"/>
    <w:basedOn w:val="a"/>
    <w:uiPriority w:val="99"/>
    <w:unhideWhenUsed/>
    <w:rsid w:val="00B4762B"/>
    <w:pPr>
      <w:spacing w:before="100" w:beforeAutospacing="1" w:after="100" w:afterAutospacing="1" w:line="240" w:lineRule="auto"/>
    </w:pPr>
    <w:rPr>
      <w:rFonts w:ascii="Times New Roman" w:hAnsi="Times New Roman"/>
      <w:sz w:val="24"/>
      <w:szCs w:val="24"/>
      <w:lang w:val="ru-RU" w:eastAsia="ru-RU"/>
    </w:rPr>
  </w:style>
  <w:style w:type="table" w:styleId="ae">
    <w:name w:val="Table Grid"/>
    <w:basedOn w:val="a1"/>
    <w:uiPriority w:val="39"/>
    <w:rsid w:val="00230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719FA"/>
  </w:style>
  <w:style w:type="paragraph" w:styleId="af">
    <w:name w:val="Balloon Text"/>
    <w:basedOn w:val="a"/>
    <w:link w:val="af0"/>
    <w:uiPriority w:val="99"/>
    <w:semiHidden/>
    <w:unhideWhenUsed/>
    <w:rsid w:val="003037A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037AD"/>
    <w:rPr>
      <w:rFonts w:ascii="Tahoma" w:eastAsia="Times New Roman" w:hAnsi="Tahoma" w:cs="Tahoma"/>
      <w:sz w:val="16"/>
      <w:szCs w:val="16"/>
      <w:lang w:val="en-US"/>
    </w:rPr>
  </w:style>
  <w:style w:type="character" w:customStyle="1" w:styleId="10">
    <w:name w:val="Заголовок 1 Знак"/>
    <w:basedOn w:val="a0"/>
    <w:link w:val="1"/>
    <w:uiPriority w:val="9"/>
    <w:rsid w:val="007F710D"/>
    <w:rPr>
      <w:rFonts w:ascii="Calibri" w:eastAsiaTheme="majorEastAsia" w:hAnsi="Calibri" w:cstheme="majorBidi"/>
      <w:b/>
      <w:bCs/>
      <w:color w:val="006666"/>
      <w:spacing w:val="20"/>
      <w:sz w:val="28"/>
      <w:szCs w:val="28"/>
    </w:rPr>
  </w:style>
  <w:style w:type="paragraph" w:styleId="af1">
    <w:name w:val="Subtitle"/>
    <w:basedOn w:val="a"/>
    <w:next w:val="a"/>
    <w:link w:val="af2"/>
    <w:uiPriority w:val="99"/>
    <w:qFormat/>
    <w:rsid w:val="007F710D"/>
    <w:pPr>
      <w:keepNext/>
      <w:keepLines/>
      <w:numPr>
        <w:ilvl w:val="1"/>
      </w:numPr>
      <w:spacing w:before="240" w:after="0"/>
      <w:ind w:firstLine="567"/>
      <w:jc w:val="center"/>
    </w:pPr>
    <w:rPr>
      <w:rFonts w:ascii="Times New Roman CYR" w:hAnsi="Times New Roman CYR"/>
      <w:b/>
      <w:iCs/>
      <w:color w:val="006666"/>
      <w:spacing w:val="20"/>
      <w:sz w:val="24"/>
      <w:szCs w:val="24"/>
      <w:lang w:val="ru-RU"/>
    </w:rPr>
  </w:style>
  <w:style w:type="character" w:customStyle="1" w:styleId="af2">
    <w:name w:val="Подзаголовок Знак"/>
    <w:basedOn w:val="a0"/>
    <w:link w:val="af1"/>
    <w:uiPriority w:val="99"/>
    <w:rsid w:val="007F710D"/>
    <w:rPr>
      <w:rFonts w:ascii="Times New Roman CYR" w:eastAsia="Times New Roman" w:hAnsi="Times New Roman CYR" w:cs="Times New Roman"/>
      <w:b/>
      <w:iCs/>
      <w:color w:val="006666"/>
      <w:spacing w:val="20"/>
      <w:sz w:val="24"/>
      <w:szCs w:val="24"/>
    </w:rPr>
  </w:style>
</w:styles>
</file>

<file path=word/webSettings.xml><?xml version="1.0" encoding="utf-8"?>
<w:webSettings xmlns:r="http://schemas.openxmlformats.org/officeDocument/2006/relationships" xmlns:w="http://schemas.openxmlformats.org/wordprocessingml/2006/main">
  <w:divs>
    <w:div w:id="134681742">
      <w:bodyDiv w:val="1"/>
      <w:marLeft w:val="0"/>
      <w:marRight w:val="0"/>
      <w:marTop w:val="0"/>
      <w:marBottom w:val="0"/>
      <w:divBdr>
        <w:top w:val="none" w:sz="0" w:space="0" w:color="auto"/>
        <w:left w:val="none" w:sz="0" w:space="0" w:color="auto"/>
        <w:bottom w:val="none" w:sz="0" w:space="0" w:color="auto"/>
        <w:right w:val="none" w:sz="0" w:space="0" w:color="auto"/>
      </w:divBdr>
    </w:div>
    <w:div w:id="870806480">
      <w:bodyDiv w:val="1"/>
      <w:marLeft w:val="0"/>
      <w:marRight w:val="0"/>
      <w:marTop w:val="0"/>
      <w:marBottom w:val="0"/>
      <w:divBdr>
        <w:top w:val="none" w:sz="0" w:space="0" w:color="auto"/>
        <w:left w:val="none" w:sz="0" w:space="0" w:color="auto"/>
        <w:bottom w:val="none" w:sz="0" w:space="0" w:color="auto"/>
        <w:right w:val="none" w:sz="0" w:space="0" w:color="auto"/>
      </w:divBdr>
      <w:divsChild>
        <w:div w:id="1857184832">
          <w:marLeft w:val="0"/>
          <w:marRight w:val="0"/>
          <w:marTop w:val="0"/>
          <w:marBottom w:val="0"/>
          <w:divBdr>
            <w:top w:val="none" w:sz="0" w:space="0" w:color="auto"/>
            <w:left w:val="none" w:sz="0" w:space="0" w:color="auto"/>
            <w:bottom w:val="none" w:sz="0" w:space="0" w:color="auto"/>
            <w:right w:val="none" w:sz="0" w:space="0" w:color="auto"/>
          </w:divBdr>
        </w:div>
        <w:div w:id="146674106">
          <w:marLeft w:val="0"/>
          <w:marRight w:val="0"/>
          <w:marTop w:val="0"/>
          <w:marBottom w:val="0"/>
          <w:divBdr>
            <w:top w:val="none" w:sz="0" w:space="0" w:color="auto"/>
            <w:left w:val="none" w:sz="0" w:space="0" w:color="auto"/>
            <w:bottom w:val="none" w:sz="0" w:space="0" w:color="auto"/>
            <w:right w:val="none" w:sz="0" w:space="0" w:color="auto"/>
          </w:divBdr>
          <w:divsChild>
            <w:div w:id="134182974">
              <w:marLeft w:val="0"/>
              <w:marRight w:val="0"/>
              <w:marTop w:val="0"/>
              <w:marBottom w:val="0"/>
              <w:divBdr>
                <w:top w:val="none" w:sz="0" w:space="0" w:color="auto"/>
                <w:left w:val="none" w:sz="0" w:space="0" w:color="auto"/>
                <w:bottom w:val="none" w:sz="0" w:space="0" w:color="auto"/>
                <w:right w:val="none" w:sz="0" w:space="0" w:color="auto"/>
              </w:divBdr>
            </w:div>
          </w:divsChild>
        </w:div>
        <w:div w:id="515659370">
          <w:marLeft w:val="0"/>
          <w:marRight w:val="0"/>
          <w:marTop w:val="0"/>
          <w:marBottom w:val="0"/>
          <w:divBdr>
            <w:top w:val="none" w:sz="0" w:space="0" w:color="auto"/>
            <w:left w:val="none" w:sz="0" w:space="0" w:color="auto"/>
            <w:bottom w:val="none" w:sz="0" w:space="0" w:color="auto"/>
            <w:right w:val="none" w:sz="0" w:space="0" w:color="auto"/>
          </w:divBdr>
        </w:div>
        <w:div w:id="1179152296">
          <w:marLeft w:val="0"/>
          <w:marRight w:val="0"/>
          <w:marTop w:val="0"/>
          <w:marBottom w:val="0"/>
          <w:divBdr>
            <w:top w:val="none" w:sz="0" w:space="0" w:color="auto"/>
            <w:left w:val="none" w:sz="0" w:space="0" w:color="auto"/>
            <w:bottom w:val="none" w:sz="0" w:space="0" w:color="auto"/>
            <w:right w:val="none" w:sz="0" w:space="0" w:color="auto"/>
          </w:divBdr>
        </w:div>
        <w:div w:id="1264194341">
          <w:marLeft w:val="0"/>
          <w:marRight w:val="0"/>
          <w:marTop w:val="0"/>
          <w:marBottom w:val="0"/>
          <w:divBdr>
            <w:top w:val="none" w:sz="0" w:space="0" w:color="auto"/>
            <w:left w:val="none" w:sz="0" w:space="0" w:color="auto"/>
            <w:bottom w:val="none" w:sz="0" w:space="0" w:color="auto"/>
            <w:right w:val="none" w:sz="0" w:space="0" w:color="auto"/>
          </w:divBdr>
          <w:divsChild>
            <w:div w:id="519201360">
              <w:marLeft w:val="0"/>
              <w:marRight w:val="0"/>
              <w:marTop w:val="0"/>
              <w:marBottom w:val="0"/>
              <w:divBdr>
                <w:top w:val="none" w:sz="0" w:space="0" w:color="auto"/>
                <w:left w:val="none" w:sz="0" w:space="0" w:color="auto"/>
                <w:bottom w:val="none" w:sz="0" w:space="0" w:color="auto"/>
                <w:right w:val="none" w:sz="0" w:space="0" w:color="auto"/>
              </w:divBdr>
            </w:div>
          </w:divsChild>
        </w:div>
        <w:div w:id="1964998513">
          <w:marLeft w:val="0"/>
          <w:marRight w:val="0"/>
          <w:marTop w:val="0"/>
          <w:marBottom w:val="0"/>
          <w:divBdr>
            <w:top w:val="none" w:sz="0" w:space="0" w:color="auto"/>
            <w:left w:val="none" w:sz="0" w:space="0" w:color="auto"/>
            <w:bottom w:val="none" w:sz="0" w:space="0" w:color="auto"/>
            <w:right w:val="none" w:sz="0" w:space="0" w:color="auto"/>
          </w:divBdr>
        </w:div>
      </w:divsChild>
    </w:div>
    <w:div w:id="1289437306">
      <w:bodyDiv w:val="1"/>
      <w:marLeft w:val="0"/>
      <w:marRight w:val="0"/>
      <w:marTop w:val="0"/>
      <w:marBottom w:val="0"/>
      <w:divBdr>
        <w:top w:val="none" w:sz="0" w:space="0" w:color="auto"/>
        <w:left w:val="none" w:sz="0" w:space="0" w:color="auto"/>
        <w:bottom w:val="none" w:sz="0" w:space="0" w:color="auto"/>
        <w:right w:val="none" w:sz="0" w:space="0" w:color="auto"/>
      </w:divBdr>
    </w:div>
    <w:div w:id="2085491185">
      <w:bodyDiv w:val="1"/>
      <w:marLeft w:val="0"/>
      <w:marRight w:val="0"/>
      <w:marTop w:val="0"/>
      <w:marBottom w:val="0"/>
      <w:divBdr>
        <w:top w:val="none" w:sz="0" w:space="0" w:color="auto"/>
        <w:left w:val="none" w:sz="0" w:space="0" w:color="auto"/>
        <w:bottom w:val="none" w:sz="0" w:space="0" w:color="auto"/>
        <w:right w:val="none" w:sz="0" w:space="0" w:color="auto"/>
      </w:divBdr>
    </w:div>
    <w:div w:id="2098556805">
      <w:bodyDiv w:val="1"/>
      <w:marLeft w:val="0"/>
      <w:marRight w:val="0"/>
      <w:marTop w:val="0"/>
      <w:marBottom w:val="0"/>
      <w:divBdr>
        <w:top w:val="none" w:sz="0" w:space="0" w:color="auto"/>
        <w:left w:val="none" w:sz="0" w:space="0" w:color="auto"/>
        <w:bottom w:val="none" w:sz="0" w:space="0" w:color="auto"/>
        <w:right w:val="none" w:sz="0" w:space="0" w:color="auto"/>
      </w:divBdr>
      <w:divsChild>
        <w:div w:id="447431453">
          <w:marLeft w:val="0"/>
          <w:marRight w:val="0"/>
          <w:marTop w:val="0"/>
          <w:marBottom w:val="0"/>
          <w:divBdr>
            <w:top w:val="none" w:sz="0" w:space="0" w:color="auto"/>
            <w:left w:val="none" w:sz="0" w:space="0" w:color="auto"/>
            <w:bottom w:val="none" w:sz="0" w:space="0" w:color="auto"/>
            <w:right w:val="none" w:sz="0" w:space="0" w:color="auto"/>
          </w:divBdr>
        </w:div>
        <w:div w:id="1058669485">
          <w:marLeft w:val="0"/>
          <w:marRight w:val="0"/>
          <w:marTop w:val="0"/>
          <w:marBottom w:val="0"/>
          <w:divBdr>
            <w:top w:val="none" w:sz="0" w:space="0" w:color="auto"/>
            <w:left w:val="none" w:sz="0" w:space="0" w:color="auto"/>
            <w:bottom w:val="none" w:sz="0" w:space="0" w:color="auto"/>
            <w:right w:val="none" w:sz="0" w:space="0" w:color="auto"/>
          </w:divBdr>
        </w:div>
        <w:div w:id="94519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3288</Words>
  <Characters>18746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Сухарева</dc:creator>
  <cp:lastModifiedBy>Наталья</cp:lastModifiedBy>
  <cp:revision>4</cp:revision>
  <cp:lastPrinted>2016-10-04T08:28:00Z</cp:lastPrinted>
  <dcterms:created xsi:type="dcterms:W3CDTF">2017-07-04T12:17:00Z</dcterms:created>
  <dcterms:modified xsi:type="dcterms:W3CDTF">2019-05-07T08:45:00Z</dcterms:modified>
</cp:coreProperties>
</file>