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b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77E89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b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B55676" w:rsidRDefault="00F2002E" w:rsidP="00A278DD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552A06" w:rsidRPr="009E611B" w:rsidRDefault="00552A06" w:rsidP="00A278DD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b/>
          <w:bCs/>
          <w:color w:val="C00000"/>
          <w:spacing w:val="20"/>
          <w:szCs w:val="26"/>
          <w:lang w:bidi="ru-RU"/>
        </w:rPr>
      </w:pPr>
    </w:p>
    <w:p w:rsidR="00F93921" w:rsidRPr="00F93921" w:rsidRDefault="00F93921" w:rsidP="00F939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6"/>
          <w:lang w:bidi="ru-RU"/>
        </w:rPr>
      </w:pPr>
      <w:proofErr w:type="gramStart"/>
      <w:r w:rsidRPr="00F9392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6"/>
          <w:lang w:bidi="ru-RU"/>
        </w:rPr>
        <w:t>Принята</w:t>
      </w:r>
      <w:proofErr w:type="gramEnd"/>
      <w:r w:rsidRPr="00F9392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6"/>
          <w:lang w:bidi="ru-RU"/>
        </w:rPr>
        <w:t xml:space="preserve"> Комитетом по рекомендациям 2011-09-09</w:t>
      </w:r>
      <w:r w:rsidRPr="00F93921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6"/>
          <w:lang w:bidi="ru-RU"/>
        </w:rPr>
        <w:br/>
        <w:t>Утверждена в итоговой редакции 2011-12-26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Times New Roman"/>
          <w:color w:val="46473A"/>
          <w:sz w:val="14"/>
          <w:szCs w:val="14"/>
        </w:rPr>
      </w:pPr>
      <w:r w:rsidRPr="00F93921">
        <w:rPr>
          <w:rFonts w:ascii="Verdana" w:eastAsia="Times New Roman" w:hAnsi="Verdana" w:cs="Times New Roman"/>
          <w:color w:val="46473A"/>
          <w:sz w:val="14"/>
          <w:szCs w:val="14"/>
        </w:rPr>
        <w:t> 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F93921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РЕКОМЕНДАЦИЯ Р-14/2011 </w:t>
      </w:r>
      <w:proofErr w:type="spellStart"/>
      <w:r w:rsidRPr="00F93921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КпР</w:t>
      </w:r>
      <w:proofErr w:type="spellEnd"/>
      <w:r w:rsidRPr="00F93921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  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F93921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«ИСКЛЮЧИТЕЛЬНЫЕ ПРАВА КАК КРИТЕРИЙ ПРИЗНАНИЯ НЕМАТ</w:t>
      </w:r>
      <w:r w:rsidRPr="00F93921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Е</w:t>
      </w:r>
      <w:r w:rsidRPr="00F93921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РИАЛЬНЫХ АКТИВОВ»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Times New Roman"/>
          <w:color w:val="46473A"/>
          <w:sz w:val="14"/>
          <w:szCs w:val="14"/>
        </w:rPr>
      </w:pPr>
      <w:r w:rsidRPr="00F93921">
        <w:rPr>
          <w:rFonts w:ascii="Verdana" w:eastAsia="Times New Roman" w:hAnsi="Verdana" w:cs="Times New Roman"/>
          <w:color w:val="46473A"/>
          <w:sz w:val="14"/>
          <w:szCs w:val="14"/>
        </w:rPr>
        <w:t> </w:t>
      </w:r>
    </w:p>
    <w:p w:rsidR="00F93921" w:rsidRPr="00F93921" w:rsidRDefault="00F93921" w:rsidP="00F9392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46473A"/>
          <w:sz w:val="14"/>
          <w:szCs w:val="14"/>
        </w:rPr>
      </w:pPr>
      <w:r w:rsidRPr="00F93921">
        <w:rPr>
          <w:rFonts w:ascii="Verdana" w:eastAsia="Times New Roman" w:hAnsi="Verdana" w:cs="Times New Roman"/>
          <w:color w:val="46473A"/>
          <w:sz w:val="14"/>
          <w:szCs w:val="14"/>
        </w:rPr>
        <w:t> </w:t>
      </w:r>
    </w:p>
    <w:p w:rsidR="00F93921" w:rsidRPr="00F93921" w:rsidRDefault="00F93921" w:rsidP="00F93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ТОЛКУЕМЫЕ НОРМАТИВНЫЕ ДОКУМЕНТЫ</w:t>
      </w:r>
    </w:p>
    <w:p w:rsidR="00F93921" w:rsidRPr="00F93921" w:rsidRDefault="00F93921" w:rsidP="00F93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</w:p>
    <w:p w:rsidR="00F93921" w:rsidRPr="00F93921" w:rsidRDefault="00F93921" w:rsidP="003F0691">
      <w:pPr>
        <w:numPr>
          <w:ilvl w:val="0"/>
          <w:numId w:val="4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Положение по бухгалтерскому учету «Учет нематериальных активов» ПБУ 14/2007. У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верждено приказом Минфина РФ от 27.12.2007 № 153н (по тексту — ПБУ 14/07);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b/>
          <w:bCs/>
          <w:color w:val="46473A"/>
          <w:sz w:val="24"/>
          <w:szCs w:val="24"/>
        </w:rPr>
        <w:t>Прочие применяемые документы:</w:t>
      </w:r>
    </w:p>
    <w:p w:rsidR="00F93921" w:rsidRPr="00F93921" w:rsidRDefault="00F93921" w:rsidP="003F0691">
      <w:pPr>
        <w:numPr>
          <w:ilvl w:val="0"/>
          <w:numId w:val="5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Федеральный закон «О бухгалтерском учете» от 21 ноября 1996 г. № 129-ФЗ (по тексту – Закон о бухучете);</w:t>
      </w:r>
    </w:p>
    <w:p w:rsidR="00F93921" w:rsidRPr="00F93921" w:rsidRDefault="00F93921" w:rsidP="003F0691">
      <w:pPr>
        <w:numPr>
          <w:ilvl w:val="0"/>
          <w:numId w:val="5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Положение по бухгалтерскому учету «Учетная политика организации» ПБУ 1/08. Утве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ждено приказом Минфина РФ от 06.10.2008 № 106н (по тексту – ПБУ 1/08);</w:t>
      </w:r>
    </w:p>
    <w:p w:rsidR="00F93921" w:rsidRPr="00F93921" w:rsidRDefault="00F93921" w:rsidP="003F0691">
      <w:pPr>
        <w:numPr>
          <w:ilvl w:val="0"/>
          <w:numId w:val="5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Положение по ведению бухгалтерского учета и бухгалтерской отчетности в Российской Федерации. Утверждено приказом Минфина РФ от 29.07.1998 №34н (по тексту — ПВБУ №34н);</w:t>
      </w:r>
    </w:p>
    <w:p w:rsidR="00F93921" w:rsidRPr="00F93921" w:rsidRDefault="00F93921" w:rsidP="003F0691">
      <w:pPr>
        <w:numPr>
          <w:ilvl w:val="0"/>
          <w:numId w:val="5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 xml:space="preserve">Концепция бухгалтерского учета в рыночной экономике России. </w:t>
      </w:r>
      <w:proofErr w:type="gramStart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Одобрена</w:t>
      </w:r>
      <w:proofErr w:type="gramEnd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 xml:space="preserve"> Методологич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ским советом по бухгалтерскому учету при Министерстве финансов Российской Федерации 29 декабря 1997 г.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СФЕРА ПРИМЕНЕНИЯ </w:t>
      </w:r>
    </w:p>
    <w:p w:rsid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  <w:bdr w:val="none" w:sz="0" w:space="0" w:color="auto" w:frame="1"/>
        </w:rPr>
      </w:pP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  <w:bdr w:val="none" w:sz="0" w:space="0" w:color="auto" w:frame="1"/>
        </w:rPr>
        <w:t>Настоящая Рекомендация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применяется для определения применимости исключительного права на результаты интеллектуальной деятельности или на средс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ва индивидуализации в качестве критерия признания нематериальных активов.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  <w:bdr w:val="none" w:sz="0" w:space="0" w:color="auto" w:frame="1"/>
        </w:rPr>
        <w:t>Настоящая Рекомендация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не применяется в отношении неисключительных прав, явля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ю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щихся по своей сути временными пр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вами пользования, в отношении которых применимы положения раздела VI (пункты 37 — 39) ПБУ 14/07.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  <w:bdr w:val="none" w:sz="0" w:space="0" w:color="auto" w:frame="1"/>
        </w:rPr>
        <w:t>Настоящая Рекомендация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не применяется в отношении лицензий на осуществление де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тельности, которая является условием существования данной организации как юридическ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го лица.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  <w:bdr w:val="none" w:sz="0" w:space="0" w:color="auto" w:frame="1"/>
        </w:rPr>
        <w:lastRenderedPageBreak/>
        <w:t>Настоящая Рекомендация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действует с момента его публикации до момента принятия но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мативного правового акта (актов), которым будет урегулирована проблема, являющаяся предметом 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  <w:bdr w:val="none" w:sz="0" w:space="0" w:color="auto" w:frame="1"/>
        </w:rPr>
        <w:t>настоящей Рекомендации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ОПИСАНИЕ ПРОБЛЕМЫ</w:t>
      </w:r>
    </w:p>
    <w:p w:rsid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Законодательство о бухучёте, в частности часть 2 статьи 8 Закона о бухгалтерском учёте № 129-ФЗ, требует, чтобы имущество, являющееся собственностью организации, учитывалось обособленно от имущества других юридических лиц, находящегося у данной организации. Это требование на практике стало трактоваться очень широко и из простого раздельного учёта превратилось в критерий признания активов на балансе. Применительно к нематер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альным активам этот «имущественный» подход выразился в повсеместном применении 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с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ключительных прав на результаты интеллектуальной деятельности или на средства инд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видуализации в качестве критерия признания нематериальных активов в бухгалтерском учёте.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 прежней редакции ПБУ 14/00 «Учет нематериальных активов», действовавшей до 2008 года, такой критерий был действительно прописан в качестве одн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го из условий принятия к бухгалтерскому учёту нематериального актива. В новой редакции ПБУ 14/07, действующей с 2008 года это условие было исключ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но. Однако в числе примеров документов, которыми может быть подтверждено право организации на получение экономических выгод, упом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нается договор об отчуждении исключительного права. Это упоминание привело на пра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к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тике к тому, что организации повсеместно продолжили применять исключительное право в качестве критерия признания нематериальных активов так, как если бы никаких изменений нормативных требований не произошло.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 результате этого юридическая форма в данном вопросе по-прежнему преобладает над экономическим содержанием, что нарушает требование приоритета содержания перед фо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мой, установленной ПБУ 1/08. К тому же объекты, не признанные в качестве нематериал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ь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ных активов по указанной причине, чаще всего отражаются в бухгалтерском учёте в кач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 xml:space="preserve">стве расходов будущих периодов. Информативность статьи бухгалтерского баланса с таким названием ничуть не выше, </w:t>
      </w:r>
      <w:proofErr w:type="gramStart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чем</w:t>
      </w:r>
      <w:proofErr w:type="gramEnd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 xml:space="preserve"> если бы она называлась «прочие активы». При этом зача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с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тую такие расходы будущих периодов помещаются в бухгалтерском балансе в об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ротные активы, несмотря на долгосрочный период использования актива. Указанные факты заме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но снижают качество информации, представляемой в бухгалтерской отчётности, и затру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д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няют принятие на её основе экономических решений.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 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РЕШЕНИЕ</w:t>
      </w:r>
    </w:p>
    <w:p w:rsid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F93921" w:rsidRPr="00F93921" w:rsidRDefault="00F93921" w:rsidP="003F0691">
      <w:pPr>
        <w:numPr>
          <w:ilvl w:val="1"/>
          <w:numId w:val="6"/>
        </w:numPr>
        <w:tabs>
          <w:tab w:val="clear" w:pos="0"/>
        </w:tabs>
        <w:spacing w:before="120"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Исключительное право на результат интеллектуальной деятельности или на средство индивидуализации не может применяться непосредственно в качестве критерия призн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ния нематериальных активов, за исключением случаев, когда без такого права организ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ция не имеет возможности извлекать экономические выгоды от использования этих н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материальных активов.</w:t>
      </w:r>
    </w:p>
    <w:p w:rsidR="00F93921" w:rsidRPr="00F93921" w:rsidRDefault="00F93921" w:rsidP="003F0691">
      <w:pPr>
        <w:numPr>
          <w:ilvl w:val="1"/>
          <w:numId w:val="6"/>
        </w:numPr>
        <w:tabs>
          <w:tab w:val="clear" w:pos="0"/>
        </w:tabs>
        <w:spacing w:before="120"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gramStart"/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Указанные в подпункте б) пункта 3 ПБУ 14/07 патенты, свидетельства, другие охранные документы, договор об отчуждении исключительного права на результат интеллект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альной деятельности или на средс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во индивидуализации, документы, подтверждающие переход исключительного права без договора, следует рассматривать как частные пр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меры документов, подтверждающих право организации на получение экономических выгод, которые рассматриваемый объект способен приносить в будущем.</w:t>
      </w:r>
      <w:proofErr w:type="gramEnd"/>
    </w:p>
    <w:p w:rsidR="00F93921" w:rsidRPr="00F93921" w:rsidRDefault="00F93921" w:rsidP="003F0691">
      <w:pPr>
        <w:numPr>
          <w:ilvl w:val="1"/>
          <w:numId w:val="6"/>
        </w:numPr>
        <w:tabs>
          <w:tab w:val="clear" w:pos="0"/>
        </w:tabs>
        <w:spacing w:before="120"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Условие подпункта б) пункта 3 ПБУ 14/07 считается выполненным также в случаях по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тверждения права организации на получение экономических выгод в будущем докуме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тами, не названными в этом пункте, даже если такие документы не подтверждают нал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чие исключительного права на результат интеллектуальной деятельности или на средс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во индивидуализации.</w:t>
      </w:r>
    </w:p>
    <w:p w:rsidR="00F93921" w:rsidRPr="00F93921" w:rsidRDefault="00F93921" w:rsidP="003F0691">
      <w:pPr>
        <w:numPr>
          <w:ilvl w:val="1"/>
          <w:numId w:val="6"/>
        </w:numPr>
        <w:tabs>
          <w:tab w:val="clear" w:pos="0"/>
        </w:tabs>
        <w:spacing w:before="120"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gramStart"/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При соблюдении условий пункта 3 ПБУ 14/07, в том числе условия подпункта б) с уч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ё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том пунктов 9, 10 настоящего Толкования, нематериальными активами могут призн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ваться неисключительные права на использование результатов интеллектуальной де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я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тельности, а также права на объекты, не являющиеся результатами интеллектуальной деятельности и средствами индивидуализации, такие как лицензии на осуществление определённых видов деятельности, лицензии на добычу полезных ископаемых, квоты на</w:t>
      </w:r>
      <w:proofErr w:type="gramEnd"/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вылов рыбы, лесорубочные билеты, сертификаты качества продукции, права на вещ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</w:t>
      </w:r>
      <w:r w:rsidRPr="00F9392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тельные частоты и т.п.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</w:rPr>
        <w:br/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ОСНОВА ДЛЯ ВЫВОДОВ</w:t>
      </w:r>
    </w:p>
    <w:p w:rsid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Пунктом 3 ПБУ 14/07 установлены условия, при единовременном выполнении которых объект принимается к бухгалтерскому учёту в качестве нематериал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ь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ного актива. Наличие исключительного права на результат интеллектуальной деятельности или на средство 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дивидуализации среди этих условий не назв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но.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Патенты, свидетельства, другие охранные документы, договор об отчуждении исключ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тельного права на результат интеллектуальной деятельности или на средство индивидуал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зации, документы, подтверждающие переход исключительного права без договора упом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наются в подпункте б пункта 3 ПБУ 14/07. Условием принятия к бухгалтерскому учёту объекта в качестве нематериального актива по этому подпункту является наличие у орган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зации права на получение экономических выгод, которые данный объект способен прин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сить в будущем и ограничение доступа иных лиц к таким экономическим выгодам. Указа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 xml:space="preserve">ные выше документы приведены в скобках в качестве того, чем может быть подтверждено такое право. Причём скобка начинается словами «в том числе» и заканчивается словами «и т.п.». В таком контексте перечень, стоящий в скобках никак нельзя считать </w:t>
      </w:r>
      <w:proofErr w:type="gramStart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исчерпыва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ю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щим</w:t>
      </w:r>
      <w:proofErr w:type="gramEnd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, а перечисленное в скобках можно рассматривать лишь как примеры.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Извлечения экономических выгод из нематериального актива в большинстве случаев пр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исходит через использование соответствующего объекта в производстве и продаже проду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к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ции, товаров, работ, услуг, управленческих целей. Для извлечения выгод таким путём в 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личии исключительного права на результат интеллектуальной деятельности или на средс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во индивидуализации нет надобности. Достаточно наличие права использовать актив в св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ей деятельности. При этом сам объект не обязательно должен представлять собой результат интеллектуальной деятельности или средство индивидуализации. Исключител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ь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ное право может оказаться необходимым лишь в тех случаях, когда поступление выгод непосредс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венно связано с наличием такого права, например, пол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у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чение доходов по лицензионным договорам. Однако такой способ извлечения дохода из нематериальных активов является весьма специфическим и характ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рен для небольшого числа организаций.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Исключительные права являются формальным юридическим фактом, в то время как экон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мическое содержание заключается в возможности извлекать экономические выгоды от 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с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пользования объекта. Между тем, в соответствии с п.6 ПБУ 1/08 учетная политика орган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lastRenderedPageBreak/>
        <w:t xml:space="preserve">зации должна обеспечивать </w:t>
      </w:r>
      <w:proofErr w:type="gramStart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отражение</w:t>
      </w:r>
      <w:proofErr w:type="gramEnd"/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 xml:space="preserve"> в бухгалтерском учете фактов хозяйственной де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я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тельности исходя не столько из их правовой формы, сколько из их экономического соде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жания и условий хозяйствования (требование приоритета содержания перед формой).</w:t>
      </w:r>
    </w:p>
    <w:p w:rsidR="00F93921" w:rsidRPr="00F93921" w:rsidRDefault="00F93921" w:rsidP="00F9392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 международной практике бухгалтерского учёта, формализованной в международных стандартах финансовой отчётности (МСФО) имущественная обособленность не рассматр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вается среди принципов бухгалтерского учёта. В Концепции подготовки и составления ф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нансовой отчетности приоритет содержания перед формой назван как составной элемент «надёжности» – одной из четырёх основных качественных характеристик финансовой о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чётности. В параграфе 57 Концепции, что юридические права не является первостепенными при признании актива, несмотря на то, что многие активы с ними связаны. Здесь прив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дён пример «ноу-хау», в отношении которого организация вообще не заинтересована в офор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м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лении каких бы то ни было юридических прав, так как именно в этом случае может пот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рять контроль над поступлением экономических выгод. В соответствии с IAS 38 «Немат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е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риальные активы» в качестве нематериальных активов могут признаваться наряду с искл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ю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чительными правами также и неисключительные права на использование результатов 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теллектуальной деятельности, а также права на объекты, не являющиеся результатами и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н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теллектуальной деятельности и средствами индивидуализации.</w:t>
      </w:r>
    </w:p>
    <w:p w:rsidR="00F93921" w:rsidRPr="00F93921" w:rsidRDefault="00F93921" w:rsidP="00F93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73A"/>
          <w:sz w:val="24"/>
          <w:szCs w:val="24"/>
        </w:rPr>
      </w:pP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В российских нормативных документах по бухгалтерскому учёту не содержится общих критериев признания и списания активов. Между тем, Методологическим советом по бу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х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галтерскому учету при Министерстве финансов Российской Федерации была одобрена Концепция бухучета в РФ, в которой, в частности указаны общие критерии признания имущества и обязательств на балансе организации. В соответствии с её п. 7.2 имуществом признаются хозяйственные средства, контролируемые организ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цией в результате прошлых событий ее хозяйственной деятельности и которые должны принести ей экономические в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ы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годы в будущем. В соответствии с п.8.3 Концепции бухучета в РФ, имущество признается в бухгалтерском балансе, когда вероятно получение организ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цией экономических выгод в будущем от этого имущества и когда стоимость его может быть измерена с достаточной степенью надежности. Данное правило полностью совпадает с принципами признания 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к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тивов по МСФО и согл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а</w:t>
      </w:r>
      <w:r w:rsidRPr="00F93921">
        <w:rPr>
          <w:rFonts w:ascii="Times New Roman" w:eastAsia="Times New Roman" w:hAnsi="Times New Roman" w:cs="Times New Roman"/>
          <w:color w:val="46473A"/>
          <w:sz w:val="24"/>
          <w:szCs w:val="24"/>
        </w:rPr>
        <w:t>суется с требованием </w:t>
      </w:r>
      <w:r w:rsidRPr="00F93921">
        <w:rPr>
          <w:rFonts w:ascii="Times New Roman" w:eastAsia="Times New Roman" w:hAnsi="Times New Roman" w:cs="Times New Roman"/>
          <w:b/>
          <w:bCs/>
          <w:color w:val="46473A"/>
          <w:sz w:val="24"/>
          <w:szCs w:val="24"/>
        </w:rPr>
        <w:t>пункта 6 ПБУ 1/08.</w:t>
      </w:r>
    </w:p>
    <w:p w:rsidR="007E29C1" w:rsidRPr="00A278DD" w:rsidRDefault="007E29C1" w:rsidP="003D73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6473A"/>
          <w:sz w:val="24"/>
          <w:szCs w:val="24"/>
        </w:rPr>
      </w:pPr>
    </w:p>
    <w:sectPr w:rsidR="007E29C1" w:rsidRPr="00A278DD" w:rsidSect="00732C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91" w:rsidRDefault="003F0691" w:rsidP="003F7FE8">
      <w:pPr>
        <w:spacing w:after="0" w:line="240" w:lineRule="auto"/>
      </w:pPr>
      <w:r>
        <w:separator/>
      </w:r>
    </w:p>
  </w:endnote>
  <w:endnote w:type="continuationSeparator" w:id="0">
    <w:p w:rsidR="003F0691" w:rsidRDefault="003F0691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Default="00217FB2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F93921">
          <w:rPr>
            <w:noProof/>
          </w:rPr>
          <w:t>4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217FB2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F939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91" w:rsidRDefault="003F0691" w:rsidP="003F7FE8">
      <w:pPr>
        <w:spacing w:after="0" w:line="240" w:lineRule="auto"/>
      </w:pPr>
      <w:r>
        <w:separator/>
      </w:r>
    </w:p>
  </w:footnote>
  <w:footnote w:type="continuationSeparator" w:id="0">
    <w:p w:rsidR="003F0691" w:rsidRDefault="003F0691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324504" w:rsidRPr="00CE0181" w:rsidRDefault="00324504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1515"/>
    <w:multiLevelType w:val="multilevel"/>
    <w:tmpl w:val="F478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35C29"/>
    <w:multiLevelType w:val="multilevel"/>
    <w:tmpl w:val="E1A4F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47D0D"/>
    <w:multiLevelType w:val="multilevel"/>
    <w:tmpl w:val="8AD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8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37E7E"/>
    <w:rsid w:val="000401F4"/>
    <w:rsid w:val="0004036F"/>
    <w:rsid w:val="000403BE"/>
    <w:rsid w:val="00040869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6D00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46B0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0A4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17FB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3B9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691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2905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2A06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76D76"/>
    <w:rsid w:val="00577E89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87C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989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4D2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D3B"/>
    <w:rsid w:val="00810F79"/>
    <w:rsid w:val="008122C4"/>
    <w:rsid w:val="00813C2B"/>
    <w:rsid w:val="00815119"/>
    <w:rsid w:val="00815B5A"/>
    <w:rsid w:val="008169AD"/>
    <w:rsid w:val="008170B5"/>
    <w:rsid w:val="008209D4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26DB1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4297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11B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278DD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1885"/>
    <w:rsid w:val="00A71A00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63C8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D5C29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193D"/>
    <w:rsid w:val="00BA44D4"/>
    <w:rsid w:val="00BA453B"/>
    <w:rsid w:val="00BA4652"/>
    <w:rsid w:val="00BA5AF2"/>
    <w:rsid w:val="00BB050B"/>
    <w:rsid w:val="00BB089A"/>
    <w:rsid w:val="00BB0DE9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13E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07C52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A769A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D6F56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999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392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94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aff">
    <w:name w:val="Body Text"/>
    <w:basedOn w:val="a2"/>
    <w:link w:val="aff0"/>
    <w:uiPriority w:val="1"/>
    <w:qFormat/>
    <w:rsid w:val="00532905"/>
    <w:pPr>
      <w:widowControl w:val="0"/>
      <w:autoSpaceDE w:val="0"/>
      <w:autoSpaceDN w:val="0"/>
      <w:spacing w:after="0" w:line="240" w:lineRule="auto"/>
      <w:ind w:left="496"/>
    </w:pPr>
    <w:rPr>
      <w:rFonts w:ascii="Arial" w:eastAsia="Arial" w:hAnsi="Arial" w:cs="Arial"/>
      <w:lang w:bidi="ru-RU"/>
    </w:rPr>
  </w:style>
  <w:style w:type="character" w:customStyle="1" w:styleId="aff0">
    <w:name w:val="Основной текст Знак"/>
    <w:basedOn w:val="a3"/>
    <w:link w:val="aff"/>
    <w:uiPriority w:val="1"/>
    <w:rsid w:val="00532905"/>
    <w:rPr>
      <w:rFonts w:ascii="Arial" w:eastAsia="Arial" w:hAnsi="Arial" w:cs="Arial"/>
      <w:lang w:bidi="ru-RU"/>
    </w:rPr>
  </w:style>
  <w:style w:type="paragraph" w:customStyle="1" w:styleId="Heading1">
    <w:name w:val="Heading 1"/>
    <w:basedOn w:val="a2"/>
    <w:uiPriority w:val="1"/>
    <w:qFormat/>
    <w:rsid w:val="00532905"/>
    <w:pPr>
      <w:widowControl w:val="0"/>
      <w:autoSpaceDE w:val="0"/>
      <w:autoSpaceDN w:val="0"/>
      <w:spacing w:after="0" w:line="240" w:lineRule="auto"/>
      <w:ind w:left="2006" w:right="1622"/>
      <w:jc w:val="center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Heading2">
    <w:name w:val="Heading 2"/>
    <w:basedOn w:val="a2"/>
    <w:uiPriority w:val="1"/>
    <w:qFormat/>
    <w:rsid w:val="00532905"/>
    <w:pPr>
      <w:widowControl w:val="0"/>
      <w:autoSpaceDE w:val="0"/>
      <w:autoSpaceDN w:val="0"/>
      <w:spacing w:before="93" w:after="0" w:line="240" w:lineRule="auto"/>
      <w:ind w:left="440"/>
      <w:outlineLvl w:val="2"/>
    </w:pPr>
    <w:rPr>
      <w:rFonts w:ascii="Arial" w:eastAsia="Arial" w:hAnsi="Arial" w:cs="Arial"/>
      <w:b/>
      <w:bCs/>
      <w:lang w:bidi="ru-RU"/>
    </w:rPr>
  </w:style>
  <w:style w:type="paragraph" w:styleId="HTML">
    <w:name w:val="HTML Address"/>
    <w:basedOn w:val="a2"/>
    <w:link w:val="HTML0"/>
    <w:uiPriority w:val="99"/>
    <w:unhideWhenUsed/>
    <w:rsid w:val="005329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3"/>
    <w:link w:val="HTML"/>
    <w:uiPriority w:val="99"/>
    <w:rsid w:val="0053290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B13A-F2C5-42AB-90A1-AA41AAD3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2017-11-03T09:34:00Z</cp:lastPrinted>
  <dcterms:created xsi:type="dcterms:W3CDTF">2018-11-20T11:36:00Z</dcterms:created>
  <dcterms:modified xsi:type="dcterms:W3CDTF">2018-11-20T11:36:00Z</dcterms:modified>
</cp:coreProperties>
</file>