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AA" w:rsidRDefault="001C3FAA" w:rsidP="001C3FAA">
      <w:pPr>
        <w:tabs>
          <w:tab w:val="left" w:pos="12855"/>
        </w:tabs>
        <w:rPr>
          <w:rFonts w:eastAsiaTheme="majorEastAsia"/>
          <w:b/>
          <w:iCs/>
          <w:color w:val="006666"/>
          <w:spacing w:val="20"/>
          <w:sz w:val="20"/>
        </w:rPr>
      </w:pPr>
    </w:p>
    <w:p w:rsidR="00322689" w:rsidRPr="000C312F" w:rsidRDefault="00322689" w:rsidP="001C3FAA">
      <w:pPr>
        <w:tabs>
          <w:tab w:val="left" w:pos="12855"/>
        </w:tabs>
        <w:rPr>
          <w:rFonts w:eastAsiaTheme="majorEastAsia"/>
          <w:b/>
          <w:iCs/>
          <w:color w:val="006666"/>
          <w:spacing w:val="20"/>
          <w:sz w:val="20"/>
        </w:rPr>
      </w:pPr>
      <w:r w:rsidRPr="000C312F">
        <w:rPr>
          <w:rFonts w:eastAsiaTheme="majorEastAsia"/>
          <w:b/>
          <w:iCs/>
          <w:color w:val="006666"/>
          <w:spacing w:val="20"/>
          <w:sz w:val="20"/>
        </w:rPr>
        <w:t>ФОНД «НАЦИОНАЛЬНЫЙ НЕГОСУДАРСТВЕННЫЙ</w:t>
      </w:r>
      <w:r w:rsidR="00CE7FE4">
        <w:rPr>
          <w:rFonts w:eastAsiaTheme="majorEastAsia"/>
          <w:b/>
          <w:iCs/>
          <w:color w:val="006666"/>
          <w:spacing w:val="20"/>
          <w:sz w:val="20"/>
        </w:rPr>
        <w:tab/>
      </w:r>
    </w:p>
    <w:p w:rsidR="00322689" w:rsidRPr="000C312F" w:rsidRDefault="00322689" w:rsidP="001C3FAA">
      <w:pPr>
        <w:rPr>
          <w:rFonts w:eastAsiaTheme="majorEastAsia"/>
          <w:b/>
          <w:iCs/>
          <w:color w:val="006666"/>
          <w:spacing w:val="20"/>
          <w:sz w:val="20"/>
        </w:rPr>
      </w:pPr>
      <w:r w:rsidRPr="000C312F">
        <w:rPr>
          <w:rFonts w:eastAsiaTheme="majorEastAsia"/>
          <w:b/>
          <w:iCs/>
          <w:color w:val="006666"/>
          <w:spacing w:val="20"/>
          <w:sz w:val="20"/>
        </w:rPr>
        <w:t>РЕГУЛЯТОР  БУХГАЛТЕРСКОГО  УЧЕТА</w:t>
      </w:r>
    </w:p>
    <w:p w:rsidR="00322689" w:rsidRPr="000C312F" w:rsidRDefault="00322689" w:rsidP="001C3FAA">
      <w:pPr>
        <w:rPr>
          <w:rFonts w:eastAsiaTheme="majorEastAsia"/>
          <w:b/>
          <w:iCs/>
          <w:color w:val="006666"/>
          <w:spacing w:val="20"/>
          <w:sz w:val="20"/>
        </w:rPr>
      </w:pPr>
      <w:r w:rsidRPr="000C312F">
        <w:rPr>
          <w:rFonts w:eastAsiaTheme="majorEastAsia"/>
          <w:b/>
          <w:iCs/>
          <w:color w:val="006666"/>
          <w:spacing w:val="20"/>
          <w:sz w:val="20"/>
        </w:rPr>
        <w:t>«БУХГАЛТЕРСКИЙ МЕТОДОЛОГИЧЕСКИЙ ЦЕНТР»</w:t>
      </w:r>
    </w:p>
    <w:p w:rsidR="00322689" w:rsidRPr="000C312F" w:rsidRDefault="00322689" w:rsidP="001C3FAA">
      <w:pPr>
        <w:rPr>
          <w:rFonts w:eastAsia="Times New Roman"/>
          <w:b/>
          <w:iCs/>
          <w:color w:val="006666"/>
          <w:spacing w:val="20"/>
          <w:sz w:val="20"/>
        </w:rPr>
      </w:pPr>
      <w:r w:rsidRPr="000C312F">
        <w:rPr>
          <w:rFonts w:eastAsiaTheme="majorEastAsia"/>
          <w:b/>
          <w:iCs/>
          <w:color w:val="006666"/>
          <w:spacing w:val="20"/>
          <w:sz w:val="20"/>
        </w:rPr>
        <w:t>(ФОНД «НРБУ «БМЦ»)</w:t>
      </w:r>
    </w:p>
    <w:p w:rsidR="00C72A6F" w:rsidRDefault="00C72A6F" w:rsidP="006974BD">
      <w:pPr>
        <w:spacing w:line="276" w:lineRule="auto"/>
        <w:jc w:val="center"/>
        <w:rPr>
          <w:rFonts w:ascii="Calibri" w:eastAsiaTheme="minorHAnsi" w:hAnsi="Calibri" w:cstheme="minorBidi"/>
          <w:b/>
          <w:bCs/>
          <w:color w:val="006666"/>
          <w:spacing w:val="20"/>
          <w:lang w:eastAsia="ru-RU"/>
        </w:rPr>
      </w:pPr>
    </w:p>
    <w:p w:rsidR="006C3777" w:rsidRDefault="008E2A70" w:rsidP="006974BD">
      <w:pPr>
        <w:spacing w:line="276" w:lineRule="auto"/>
        <w:jc w:val="center"/>
        <w:rPr>
          <w:rFonts w:ascii="Calibri" w:eastAsiaTheme="minorHAnsi" w:hAnsi="Calibri" w:cstheme="minorBidi"/>
          <w:b/>
          <w:bCs/>
          <w:color w:val="006666"/>
          <w:spacing w:val="20"/>
          <w:lang w:eastAsia="ru-RU"/>
        </w:rPr>
      </w:pPr>
      <w:r>
        <w:rPr>
          <w:rFonts w:ascii="Calibri" w:eastAsiaTheme="minorHAnsi" w:hAnsi="Calibri" w:cstheme="minorBidi"/>
          <w:b/>
          <w:bCs/>
          <w:color w:val="006666"/>
          <w:spacing w:val="20"/>
          <w:lang w:eastAsia="ru-RU"/>
        </w:rPr>
        <w:t>ЗАМЕЧАНИЯ</w:t>
      </w:r>
      <w:r w:rsidR="006C3777" w:rsidRPr="00322689">
        <w:rPr>
          <w:rFonts w:ascii="Calibri" w:eastAsiaTheme="minorHAnsi" w:hAnsi="Calibri" w:cstheme="minorBidi"/>
          <w:b/>
          <w:bCs/>
          <w:color w:val="006666"/>
          <w:spacing w:val="20"/>
          <w:lang w:eastAsia="ru-RU"/>
        </w:rPr>
        <w:t xml:space="preserve"> К ПРОЕКТУ ФСБУ «</w:t>
      </w:r>
      <w:r w:rsidR="00B14283" w:rsidRPr="00322689">
        <w:rPr>
          <w:rFonts w:ascii="Calibri" w:eastAsiaTheme="minorHAnsi" w:hAnsi="Calibri" w:cstheme="minorBidi"/>
          <w:b/>
          <w:bCs/>
          <w:color w:val="006666"/>
          <w:spacing w:val="20"/>
          <w:lang w:eastAsia="ru-RU"/>
        </w:rPr>
        <w:t>ДЕБИТОРСКАЯ И КРЕДИТОРСКАЯ ЗАДОЛЖЕННОСТИ (ВКЛЮЧАЯ ДОЛГОВЫЕ ЗАТРАТЫ)</w:t>
      </w:r>
      <w:r w:rsidR="006C3777" w:rsidRPr="00322689">
        <w:rPr>
          <w:rFonts w:ascii="Calibri" w:eastAsiaTheme="minorHAnsi" w:hAnsi="Calibri" w:cstheme="minorBidi"/>
          <w:b/>
          <w:bCs/>
          <w:color w:val="006666"/>
          <w:spacing w:val="20"/>
          <w:lang w:eastAsia="ru-RU"/>
        </w:rPr>
        <w:t xml:space="preserve">», ПОЛУЧЕННЫЕ ОТ </w:t>
      </w:r>
      <w:r w:rsidR="00B14283" w:rsidRPr="0088464A">
        <w:rPr>
          <w:rFonts w:ascii="Calibri" w:eastAsiaTheme="minorHAnsi" w:hAnsi="Calibri" w:cstheme="minorBidi"/>
          <w:b/>
          <w:bCs/>
          <w:color w:val="FF0000"/>
          <w:spacing w:val="20"/>
          <w:lang w:eastAsia="ru-RU"/>
        </w:rPr>
        <w:t>ПАО «ГМК</w:t>
      </w:r>
      <w:r w:rsidR="006C3777" w:rsidRPr="0088464A">
        <w:rPr>
          <w:rFonts w:ascii="Calibri" w:eastAsiaTheme="minorHAnsi" w:hAnsi="Calibri" w:cstheme="minorBidi"/>
          <w:b/>
          <w:bCs/>
          <w:color w:val="FF0000"/>
          <w:spacing w:val="20"/>
          <w:lang w:eastAsia="ru-RU"/>
        </w:rPr>
        <w:t xml:space="preserve"> «</w:t>
      </w:r>
      <w:r w:rsidR="00B14283" w:rsidRPr="0088464A">
        <w:rPr>
          <w:rFonts w:ascii="Calibri" w:eastAsiaTheme="minorHAnsi" w:hAnsi="Calibri" w:cstheme="minorBidi"/>
          <w:b/>
          <w:bCs/>
          <w:color w:val="FF0000"/>
          <w:spacing w:val="20"/>
          <w:lang w:eastAsia="ru-RU"/>
        </w:rPr>
        <w:t>НОРИЛЬСКИЙ НИКЕЛЬ</w:t>
      </w:r>
      <w:r w:rsidR="00CE7FE4" w:rsidRPr="0088464A">
        <w:rPr>
          <w:rFonts w:ascii="Calibri" w:eastAsiaTheme="minorHAnsi" w:hAnsi="Calibri" w:cstheme="minorBidi"/>
          <w:b/>
          <w:bCs/>
          <w:color w:val="FF0000"/>
          <w:spacing w:val="20"/>
          <w:lang w:eastAsia="ru-RU"/>
        </w:rPr>
        <w:t>»</w:t>
      </w:r>
      <w:r w:rsidR="0088464A">
        <w:rPr>
          <w:rFonts w:ascii="Calibri" w:eastAsiaTheme="minorHAnsi" w:hAnsi="Calibri" w:cstheme="minorBidi"/>
          <w:b/>
          <w:bCs/>
          <w:color w:val="006666"/>
          <w:spacing w:val="20"/>
          <w:lang w:eastAsia="ru-RU"/>
        </w:rPr>
        <w:t xml:space="preserve">, </w:t>
      </w:r>
      <w:r w:rsidR="001C3FAA">
        <w:rPr>
          <w:rFonts w:ascii="Calibri" w:eastAsiaTheme="minorHAnsi" w:hAnsi="Calibri" w:cstheme="minorBidi"/>
          <w:b/>
          <w:bCs/>
          <w:color w:val="006666"/>
          <w:spacing w:val="20"/>
          <w:lang w:eastAsia="ru-RU"/>
        </w:rPr>
        <w:t>И РЕЗУЛЬТАТЫ ОБСУЖДЕНИЯ</w:t>
      </w:r>
    </w:p>
    <w:p w:rsidR="00797A79" w:rsidRPr="00322689" w:rsidRDefault="00797A79" w:rsidP="006974BD">
      <w:pPr>
        <w:spacing w:line="276" w:lineRule="auto"/>
        <w:jc w:val="center"/>
        <w:rPr>
          <w:rFonts w:ascii="Calibri" w:eastAsiaTheme="minorHAnsi" w:hAnsi="Calibri" w:cstheme="minorBidi"/>
          <w:b/>
          <w:bCs/>
          <w:color w:val="006666"/>
          <w:spacing w:val="20"/>
          <w:lang w:eastAsia="ru-RU"/>
        </w:rPr>
      </w:pPr>
    </w:p>
    <w:tbl>
      <w:tblPr>
        <w:tblW w:w="1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590"/>
        <w:gridCol w:w="4553"/>
        <w:gridCol w:w="3591"/>
        <w:gridCol w:w="3691"/>
      </w:tblGrid>
      <w:tr w:rsidR="00C72A6F" w:rsidRPr="00681C2B" w:rsidTr="005A266C">
        <w:trPr>
          <w:jc w:val="center"/>
        </w:trPr>
        <w:tc>
          <w:tcPr>
            <w:tcW w:w="613" w:type="dxa"/>
            <w:vAlign w:val="center"/>
          </w:tcPr>
          <w:p w:rsidR="00C72A6F" w:rsidRPr="00681C2B" w:rsidRDefault="00C72A6F" w:rsidP="008E2A70">
            <w:pPr>
              <w:pStyle w:val="a6"/>
              <w:spacing w:before="120" w:after="120"/>
              <w:ind w:left="0"/>
              <w:jc w:val="center"/>
              <w:rPr>
                <w:b/>
              </w:rPr>
            </w:pPr>
            <w:r w:rsidRPr="00681C2B">
              <w:rPr>
                <w:b/>
              </w:rPr>
              <w:t>№ п.п.</w:t>
            </w:r>
            <w:r w:rsidRPr="00681C2B">
              <w:rPr>
                <w:b/>
              </w:rPr>
              <w:br/>
            </w:r>
          </w:p>
        </w:tc>
        <w:tc>
          <w:tcPr>
            <w:tcW w:w="3590" w:type="dxa"/>
            <w:vAlign w:val="center"/>
          </w:tcPr>
          <w:p w:rsidR="00C72A6F" w:rsidRPr="00681C2B" w:rsidRDefault="00C72A6F" w:rsidP="009231A2">
            <w:pPr>
              <w:pStyle w:val="a6"/>
              <w:spacing w:before="120" w:after="120"/>
              <w:ind w:left="0"/>
              <w:jc w:val="center"/>
              <w:rPr>
                <w:rFonts w:eastAsia="Times New Roman"/>
                <w:b/>
                <w:bCs/>
                <w:color w:val="000000"/>
                <w:lang w:eastAsia="ru-RU"/>
              </w:rPr>
            </w:pPr>
            <w:r w:rsidRPr="00681C2B">
              <w:rPr>
                <w:rFonts w:eastAsia="Times New Roman"/>
                <w:b/>
                <w:bCs/>
                <w:color w:val="000000"/>
                <w:lang w:eastAsia="ru-RU"/>
              </w:rPr>
              <w:t>Абзац, пункт, раздел проекта стандарта</w:t>
            </w:r>
          </w:p>
        </w:tc>
        <w:tc>
          <w:tcPr>
            <w:tcW w:w="4553" w:type="dxa"/>
            <w:vAlign w:val="center"/>
          </w:tcPr>
          <w:p w:rsidR="00C72A6F" w:rsidRPr="00681C2B" w:rsidRDefault="00C72A6F" w:rsidP="008E2A70">
            <w:pPr>
              <w:jc w:val="center"/>
              <w:rPr>
                <w:rFonts w:eastAsia="Times New Roman"/>
                <w:b/>
                <w:bCs/>
                <w:color w:val="000000"/>
                <w:lang w:eastAsia="ru-RU"/>
              </w:rPr>
            </w:pPr>
            <w:r w:rsidRPr="00681C2B">
              <w:rPr>
                <w:rFonts w:eastAsia="Times New Roman"/>
                <w:b/>
                <w:bCs/>
                <w:color w:val="000000"/>
                <w:lang w:eastAsia="ru-RU"/>
              </w:rPr>
              <w:t xml:space="preserve">Содержание замечания или предложения </w:t>
            </w:r>
          </w:p>
          <w:p w:rsidR="00C72A6F" w:rsidRPr="00681C2B" w:rsidRDefault="00C72A6F" w:rsidP="008E2A70">
            <w:pPr>
              <w:jc w:val="center"/>
              <w:rPr>
                <w:b/>
              </w:rPr>
            </w:pPr>
            <w:r w:rsidRPr="00681C2B">
              <w:rPr>
                <w:rFonts w:eastAsia="Times New Roman"/>
                <w:b/>
                <w:bCs/>
                <w:color w:val="000000"/>
                <w:lang w:eastAsia="ru-RU"/>
              </w:rPr>
              <w:t>(предлагаемая редакция)</w:t>
            </w:r>
          </w:p>
        </w:tc>
        <w:tc>
          <w:tcPr>
            <w:tcW w:w="3591" w:type="dxa"/>
            <w:vAlign w:val="center"/>
          </w:tcPr>
          <w:p w:rsidR="00C72A6F" w:rsidRPr="00681C2B" w:rsidRDefault="00C72A6F" w:rsidP="008E2A70">
            <w:pPr>
              <w:jc w:val="center"/>
              <w:rPr>
                <w:b/>
              </w:rPr>
            </w:pPr>
            <w:r w:rsidRPr="00681C2B">
              <w:rPr>
                <w:rFonts w:eastAsia="Times New Roman"/>
                <w:b/>
                <w:bCs/>
                <w:color w:val="000000"/>
                <w:lang w:eastAsia="ru-RU"/>
              </w:rPr>
              <w:t>Комментарий</w:t>
            </w:r>
          </w:p>
        </w:tc>
        <w:tc>
          <w:tcPr>
            <w:tcW w:w="3691" w:type="dxa"/>
            <w:vAlign w:val="center"/>
          </w:tcPr>
          <w:p w:rsidR="00C72A6F" w:rsidRPr="00C72A6F" w:rsidRDefault="00C72A6F" w:rsidP="005A266C">
            <w:pPr>
              <w:jc w:val="center"/>
              <w:rPr>
                <w:rFonts w:ascii="Arial Narrow" w:hAnsi="Arial Narrow"/>
                <w:b/>
                <w:color w:val="0070C0"/>
              </w:rPr>
            </w:pPr>
            <w:r w:rsidRPr="00C72A6F">
              <w:rPr>
                <w:rFonts w:ascii="Arial Narrow" w:hAnsi="Arial Narrow"/>
                <w:b/>
                <w:color w:val="0070C0"/>
              </w:rPr>
              <w:t>Результаты обсуждения</w:t>
            </w:r>
          </w:p>
        </w:tc>
      </w:tr>
      <w:tr w:rsidR="00C72A6F" w:rsidRPr="00681C2B" w:rsidTr="005A266C">
        <w:trPr>
          <w:jc w:val="center"/>
        </w:trPr>
        <w:tc>
          <w:tcPr>
            <w:tcW w:w="613" w:type="dxa"/>
          </w:tcPr>
          <w:p w:rsidR="00C72A6F" w:rsidRPr="00681C2B" w:rsidRDefault="00C72A6F" w:rsidP="00D00225">
            <w:pPr>
              <w:pStyle w:val="a6"/>
              <w:spacing w:before="120" w:after="120"/>
              <w:ind w:left="0"/>
              <w:jc w:val="center"/>
            </w:pPr>
            <w:r w:rsidRPr="00681C2B">
              <w:t>1</w:t>
            </w:r>
          </w:p>
        </w:tc>
        <w:tc>
          <w:tcPr>
            <w:tcW w:w="3590" w:type="dxa"/>
          </w:tcPr>
          <w:p w:rsidR="00C72A6F" w:rsidRPr="00681C2B" w:rsidRDefault="00C72A6F" w:rsidP="004B0D73">
            <w:pPr>
              <w:jc w:val="both"/>
              <w:rPr>
                <w:color w:val="000000"/>
              </w:rPr>
            </w:pPr>
            <w:r w:rsidRPr="00681C2B">
              <w:rPr>
                <w:color w:val="000000"/>
              </w:rPr>
              <w:t xml:space="preserve">Раздел </w:t>
            </w:r>
            <w:r w:rsidRPr="00681C2B">
              <w:rPr>
                <w:color w:val="000000"/>
                <w:lang w:val="en-US"/>
              </w:rPr>
              <w:t>I</w:t>
            </w:r>
            <w:r w:rsidRPr="00681C2B">
              <w:rPr>
                <w:color w:val="000000"/>
              </w:rPr>
              <w:t>, п.7</w:t>
            </w:r>
          </w:p>
          <w:p w:rsidR="00C72A6F" w:rsidRPr="00681C2B" w:rsidRDefault="00C72A6F" w:rsidP="00C72A6F">
            <w:pPr>
              <w:jc w:val="both"/>
              <w:rPr>
                <w:rFonts w:eastAsia="Times New Roman"/>
                <w:lang w:eastAsia="ru-RU"/>
              </w:rPr>
            </w:pPr>
            <w:r w:rsidRPr="00681C2B">
              <w:rPr>
                <w:color w:val="000000"/>
              </w:rPr>
              <w:t>Фактическая процентная ставка – процентная ставка, рассчитанная при признании долгового инструмента исходя из соотношения его фактической стоимости с номинальной стоимостью и сроков выплат по этому инструменту на основе формул, приведенных в приложении к настоящему Стандарту.</w:t>
            </w:r>
          </w:p>
        </w:tc>
        <w:tc>
          <w:tcPr>
            <w:tcW w:w="4553" w:type="dxa"/>
          </w:tcPr>
          <w:p w:rsidR="00C72A6F" w:rsidRPr="00681C2B" w:rsidRDefault="00C72A6F" w:rsidP="004469BD">
            <w:pPr>
              <w:jc w:val="both"/>
              <w:rPr>
                <w:color w:val="000000"/>
              </w:rPr>
            </w:pPr>
            <w:r w:rsidRPr="00681C2B">
              <w:rPr>
                <w:color w:val="000000"/>
              </w:rPr>
              <w:t xml:space="preserve">Раздел </w:t>
            </w:r>
            <w:r w:rsidRPr="00681C2B">
              <w:rPr>
                <w:color w:val="000000"/>
                <w:lang w:val="en-US"/>
              </w:rPr>
              <w:t>I</w:t>
            </w:r>
            <w:r w:rsidRPr="00681C2B">
              <w:rPr>
                <w:color w:val="000000"/>
              </w:rPr>
              <w:t>, п.7</w:t>
            </w:r>
          </w:p>
          <w:p w:rsidR="00C72A6F" w:rsidRPr="00681C2B" w:rsidRDefault="00C72A6F" w:rsidP="004B0D73">
            <w:pPr>
              <w:jc w:val="both"/>
              <w:rPr>
                <w:color w:val="000000"/>
              </w:rPr>
            </w:pPr>
            <w:r w:rsidRPr="00681C2B">
              <w:rPr>
                <w:color w:val="000000"/>
              </w:rPr>
              <w:t>Эффективная процентная ставка - ставка, дисконтирующая расчетные будущие денежные выплаты или поступления на протяжении ожидаемого срока действия финансового инструмента или, где это уместно, более короткого периода, точно до чистой балансовой стоимости долгового актива или долгового обязательства. При расчете эффективной процентной ставки организация должна оценить ожидаемые денежные потоки с учетом всех договорных условий долгового инструмента, но без учета ожидаемых кредитных убытков. В расчет включаются все вознаграждения и суммы, выплаченные или полученные между сторонами по договору, которые являются неотъемлемой частью эффективной процентной ставки, затраты по сделке и все прочие премии или скидки.</w:t>
            </w:r>
          </w:p>
        </w:tc>
        <w:tc>
          <w:tcPr>
            <w:tcW w:w="3591" w:type="dxa"/>
          </w:tcPr>
          <w:p w:rsidR="00C72A6F" w:rsidRPr="00681C2B" w:rsidRDefault="00C72A6F" w:rsidP="00C72A6F">
            <w:pPr>
              <w:jc w:val="both"/>
            </w:pPr>
            <w:r w:rsidRPr="00681C2B">
              <w:rPr>
                <w:color w:val="000000"/>
              </w:rPr>
              <w:t>Предлагаем использовать понятный и простой метод эффективной процентно</w:t>
            </w:r>
            <w:r>
              <w:rPr>
                <w:color w:val="000000"/>
              </w:rPr>
              <w:t>й ставки, предусмотренный МСФО.</w:t>
            </w:r>
          </w:p>
        </w:tc>
        <w:tc>
          <w:tcPr>
            <w:tcW w:w="3691" w:type="dxa"/>
          </w:tcPr>
          <w:p w:rsidR="00C72A6F" w:rsidRDefault="00C72A6F" w:rsidP="005A266C">
            <w:pPr>
              <w:rPr>
                <w:rFonts w:ascii="Arial Narrow" w:hAnsi="Arial Narrow"/>
                <w:color w:val="0070C0"/>
              </w:rPr>
            </w:pPr>
            <w:r>
              <w:rPr>
                <w:rFonts w:ascii="Arial Narrow" w:hAnsi="Arial Narrow"/>
                <w:color w:val="0070C0"/>
              </w:rPr>
              <w:t>Учтено.</w:t>
            </w:r>
          </w:p>
          <w:p w:rsidR="00C72A6F" w:rsidRDefault="00C72A6F" w:rsidP="005A266C">
            <w:pPr>
              <w:rPr>
                <w:rFonts w:ascii="Arial Narrow" w:hAnsi="Arial Narrow"/>
                <w:color w:val="0070C0"/>
              </w:rPr>
            </w:pPr>
            <w:r>
              <w:rPr>
                <w:rFonts w:ascii="Arial Narrow" w:hAnsi="Arial Narrow"/>
                <w:color w:val="0070C0"/>
              </w:rPr>
              <w:t>По тексту используется понятие «эффективная процентная ставка».</w:t>
            </w:r>
          </w:p>
          <w:p w:rsidR="00C72A6F" w:rsidRPr="00C72A6F" w:rsidRDefault="00C72A6F" w:rsidP="005A266C">
            <w:pPr>
              <w:rPr>
                <w:rFonts w:ascii="Arial Narrow" w:hAnsi="Arial Narrow"/>
                <w:color w:val="0070C0"/>
              </w:rPr>
            </w:pPr>
            <w:r>
              <w:rPr>
                <w:rFonts w:ascii="Arial Narrow" w:hAnsi="Arial Narrow"/>
                <w:color w:val="0070C0"/>
              </w:rPr>
              <w:t>В п.7 включено сформулированное заново определение этого термина.</w:t>
            </w: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lastRenderedPageBreak/>
              <w:t>2</w:t>
            </w:r>
          </w:p>
        </w:tc>
        <w:tc>
          <w:tcPr>
            <w:tcW w:w="3590" w:type="dxa"/>
          </w:tcPr>
          <w:p w:rsidR="00C72A6F" w:rsidRPr="00681C2B" w:rsidRDefault="00C72A6F" w:rsidP="004B0D73">
            <w:pPr>
              <w:jc w:val="both"/>
              <w:rPr>
                <w:color w:val="000000"/>
              </w:rPr>
            </w:pPr>
            <w:r>
              <w:rPr>
                <w:color w:val="000000"/>
              </w:rPr>
              <w:t>Редакция</w:t>
            </w:r>
            <w:r w:rsidRPr="00681C2B">
              <w:rPr>
                <w:color w:val="000000"/>
              </w:rPr>
              <w:t xml:space="preserve"> проекта ФСБУ «ДКЗ» от 29.08.2017, раздел </w:t>
            </w:r>
            <w:r w:rsidRPr="00681C2B">
              <w:rPr>
                <w:color w:val="000000"/>
                <w:lang w:val="en-US"/>
              </w:rPr>
              <w:t>II</w:t>
            </w:r>
            <w:r w:rsidRPr="00681C2B">
              <w:rPr>
                <w:color w:val="000000"/>
              </w:rPr>
              <w:t>, п.9</w:t>
            </w:r>
          </w:p>
          <w:p w:rsidR="00C72A6F" w:rsidRPr="00681C2B" w:rsidRDefault="00C72A6F" w:rsidP="004B0D73">
            <w:pPr>
              <w:jc w:val="both"/>
              <w:rPr>
                <w:color w:val="000000"/>
              </w:rPr>
            </w:pPr>
            <w:r w:rsidRPr="00681C2B">
              <w:rPr>
                <w:color w:val="000000"/>
              </w:rPr>
              <w:t>Долговые инструменты признаются, когда у организации возникает право на получение или обязанность по уплате определённой денежной суммы в будущем, за исключением договора кредита.</w:t>
            </w:r>
          </w:p>
        </w:tc>
        <w:tc>
          <w:tcPr>
            <w:tcW w:w="4553" w:type="dxa"/>
          </w:tcPr>
          <w:p w:rsidR="00C72A6F" w:rsidRPr="00681C2B" w:rsidRDefault="00C72A6F" w:rsidP="00A47004">
            <w:pPr>
              <w:jc w:val="both"/>
              <w:rPr>
                <w:color w:val="000000"/>
              </w:rPr>
            </w:pPr>
            <w:r>
              <w:rPr>
                <w:color w:val="000000"/>
              </w:rPr>
              <w:t>Редакция</w:t>
            </w:r>
            <w:r w:rsidRPr="00681C2B">
              <w:rPr>
                <w:color w:val="000000"/>
              </w:rPr>
              <w:t xml:space="preserve"> проекта ФСБУ «ДКЗ» от 29.08.2017, раздел </w:t>
            </w:r>
            <w:r w:rsidRPr="00681C2B">
              <w:rPr>
                <w:color w:val="000000"/>
                <w:lang w:val="en-US"/>
              </w:rPr>
              <w:t>II</w:t>
            </w:r>
            <w:r w:rsidRPr="00681C2B">
              <w:rPr>
                <w:color w:val="000000"/>
              </w:rPr>
              <w:t>, п.9</w:t>
            </w:r>
          </w:p>
          <w:p w:rsidR="00C72A6F" w:rsidRPr="00681C2B" w:rsidRDefault="00C72A6F" w:rsidP="004B0D73">
            <w:pPr>
              <w:jc w:val="both"/>
              <w:rPr>
                <w:color w:val="000000"/>
              </w:rPr>
            </w:pPr>
            <w:r w:rsidRPr="00681C2B">
              <w:rPr>
                <w:color w:val="000000"/>
              </w:rPr>
              <w:t xml:space="preserve">Долговые инструменты признаются, когда у организации возникает право на получение или обязанность по уплате </w:t>
            </w:r>
            <w:r w:rsidRPr="00681C2B">
              <w:t xml:space="preserve">определённой денежной суммы в будущем, за исключением договоров </w:t>
            </w:r>
            <w:r w:rsidRPr="00681C2B">
              <w:rPr>
                <w:b/>
              </w:rPr>
              <w:t>кредита или займа.</w:t>
            </w:r>
          </w:p>
        </w:tc>
        <w:tc>
          <w:tcPr>
            <w:tcW w:w="3591" w:type="dxa"/>
          </w:tcPr>
          <w:p w:rsidR="00C72A6F" w:rsidRPr="00681C2B" w:rsidRDefault="00C72A6F" w:rsidP="007C16D1">
            <w:pPr>
              <w:tabs>
                <w:tab w:val="left" w:pos="1134"/>
              </w:tabs>
              <w:suppressAutoHyphens/>
              <w:autoSpaceDE w:val="0"/>
              <w:autoSpaceDN w:val="0"/>
              <w:adjustRightInd w:val="0"/>
              <w:spacing w:before="120"/>
              <w:jc w:val="both"/>
            </w:pPr>
            <w:r w:rsidRPr="00681C2B">
              <w:t>Уточнение формулировки.</w:t>
            </w:r>
          </w:p>
        </w:tc>
        <w:tc>
          <w:tcPr>
            <w:tcW w:w="3691" w:type="dxa"/>
          </w:tcPr>
          <w:p w:rsidR="00223AF4" w:rsidRDefault="00C72A6F" w:rsidP="005A266C">
            <w:pPr>
              <w:tabs>
                <w:tab w:val="left" w:pos="840"/>
                <w:tab w:val="left" w:pos="1050"/>
              </w:tabs>
              <w:rPr>
                <w:rFonts w:ascii="Arial Narrow" w:hAnsi="Arial Narrow"/>
                <w:color w:val="0070C0"/>
              </w:rPr>
            </w:pPr>
            <w:r w:rsidRPr="00C72A6F">
              <w:rPr>
                <w:rFonts w:ascii="Arial Narrow" w:hAnsi="Arial Narrow"/>
                <w:color w:val="0070C0"/>
              </w:rPr>
              <w:t>Учтено</w:t>
            </w:r>
            <w:r w:rsidR="00223AF4">
              <w:rPr>
                <w:rFonts w:ascii="Arial Narrow" w:hAnsi="Arial Narrow"/>
                <w:color w:val="0070C0"/>
              </w:rPr>
              <w:t>.</w:t>
            </w:r>
          </w:p>
          <w:p w:rsidR="00C72A6F" w:rsidRPr="00C72A6F" w:rsidRDefault="00223AF4" w:rsidP="005A266C">
            <w:pPr>
              <w:tabs>
                <w:tab w:val="left" w:pos="840"/>
                <w:tab w:val="left" w:pos="1050"/>
              </w:tabs>
              <w:rPr>
                <w:rFonts w:ascii="Arial Narrow" w:hAnsi="Arial Narrow"/>
                <w:color w:val="0070C0"/>
              </w:rPr>
            </w:pPr>
            <w:r>
              <w:rPr>
                <w:rFonts w:ascii="Arial Narrow" w:hAnsi="Arial Narrow"/>
                <w:color w:val="0070C0"/>
              </w:rPr>
              <w:t>П.8 изложен в новой редакции</w:t>
            </w:r>
          </w:p>
        </w:tc>
      </w:tr>
      <w:tr w:rsidR="009D5A6A" w:rsidRPr="00681C2B" w:rsidTr="005A266C">
        <w:trPr>
          <w:trHeight w:val="852"/>
          <w:jc w:val="center"/>
        </w:trPr>
        <w:tc>
          <w:tcPr>
            <w:tcW w:w="613" w:type="dxa"/>
          </w:tcPr>
          <w:p w:rsidR="009D5A6A" w:rsidRPr="00681C2B" w:rsidRDefault="009D5A6A" w:rsidP="00D00225">
            <w:pPr>
              <w:pStyle w:val="a6"/>
              <w:spacing w:before="120" w:after="120"/>
              <w:ind w:left="0"/>
              <w:jc w:val="center"/>
            </w:pPr>
            <w:r w:rsidRPr="00681C2B">
              <w:t>3</w:t>
            </w:r>
          </w:p>
        </w:tc>
        <w:tc>
          <w:tcPr>
            <w:tcW w:w="3590" w:type="dxa"/>
          </w:tcPr>
          <w:p w:rsidR="009D5A6A" w:rsidRPr="00681C2B" w:rsidRDefault="009D5A6A" w:rsidP="00C70913">
            <w:pPr>
              <w:jc w:val="both"/>
              <w:rPr>
                <w:color w:val="000000"/>
              </w:rPr>
            </w:pPr>
            <w:r>
              <w:rPr>
                <w:color w:val="000000"/>
              </w:rPr>
              <w:t>Редакция</w:t>
            </w:r>
            <w:r w:rsidRPr="00681C2B">
              <w:rPr>
                <w:color w:val="000000"/>
              </w:rPr>
              <w:t xml:space="preserve"> проекта ФСБУ «ДКЗ» от 29.08.2017, раздел </w:t>
            </w:r>
            <w:r w:rsidRPr="00681C2B">
              <w:rPr>
                <w:color w:val="000000"/>
                <w:lang w:val="en-US"/>
              </w:rPr>
              <w:t>II</w:t>
            </w:r>
            <w:r w:rsidRPr="00681C2B">
              <w:rPr>
                <w:color w:val="000000"/>
              </w:rPr>
              <w:t>, п.10</w:t>
            </w:r>
          </w:p>
          <w:p w:rsidR="009D5A6A" w:rsidRPr="00681C2B" w:rsidRDefault="009D5A6A" w:rsidP="00C70913">
            <w:pPr>
              <w:jc w:val="both"/>
              <w:rPr>
                <w:color w:val="000000"/>
              </w:rPr>
            </w:pPr>
            <w:r w:rsidRPr="00681C2B">
              <w:rPr>
                <w:color w:val="000000"/>
              </w:rPr>
              <w:t xml:space="preserve"> Долговые инструменты по договорам кредита признаются в </w:t>
            </w:r>
            <w:r w:rsidRPr="00681C2B">
              <w:rPr>
                <w:bCs/>
                <w:color w:val="000000"/>
              </w:rPr>
              <w:t>момент предоставления кредитором заемщику соответствующих денежных сумм.</w:t>
            </w:r>
          </w:p>
        </w:tc>
        <w:tc>
          <w:tcPr>
            <w:tcW w:w="4553" w:type="dxa"/>
          </w:tcPr>
          <w:p w:rsidR="009D5A6A" w:rsidRPr="00681C2B" w:rsidRDefault="009D5A6A" w:rsidP="00C70913">
            <w:pPr>
              <w:jc w:val="both"/>
              <w:rPr>
                <w:color w:val="000000"/>
              </w:rPr>
            </w:pPr>
            <w:r>
              <w:rPr>
                <w:color w:val="000000"/>
              </w:rPr>
              <w:t xml:space="preserve">Редакция </w:t>
            </w:r>
            <w:r w:rsidRPr="00681C2B">
              <w:rPr>
                <w:color w:val="000000"/>
              </w:rPr>
              <w:t xml:space="preserve">проекта ФСБУ «ДКЗ» от 29.08.2017, раздел </w:t>
            </w:r>
            <w:r w:rsidRPr="00681C2B">
              <w:rPr>
                <w:color w:val="000000"/>
                <w:lang w:val="en-US"/>
              </w:rPr>
              <w:t>II</w:t>
            </w:r>
            <w:r w:rsidRPr="00681C2B">
              <w:rPr>
                <w:color w:val="000000"/>
              </w:rPr>
              <w:t>, п.10</w:t>
            </w:r>
          </w:p>
          <w:p w:rsidR="009D5A6A" w:rsidRPr="00681C2B" w:rsidRDefault="009D5A6A" w:rsidP="004B0D73">
            <w:pPr>
              <w:jc w:val="both"/>
              <w:rPr>
                <w:color w:val="000000"/>
              </w:rPr>
            </w:pPr>
            <w:r w:rsidRPr="00681C2B">
              <w:rPr>
                <w:color w:val="000000"/>
              </w:rPr>
              <w:t xml:space="preserve">Долговые инструменты по договорам кредита </w:t>
            </w:r>
            <w:r w:rsidRPr="00681C2B">
              <w:rPr>
                <w:b/>
              </w:rPr>
              <w:t>или займа</w:t>
            </w:r>
            <w:r w:rsidRPr="00681C2B">
              <w:t xml:space="preserve"> </w:t>
            </w:r>
            <w:r w:rsidRPr="00681C2B">
              <w:rPr>
                <w:color w:val="000000"/>
              </w:rPr>
              <w:t xml:space="preserve">признаются в момент предоставления кредитором заемщику соответствующих денежных сумм, </w:t>
            </w:r>
            <w:r w:rsidRPr="00681C2B">
              <w:rPr>
                <w:b/>
              </w:rPr>
              <w:t>но не ранее даты заключения кредитного договора.</w:t>
            </w:r>
          </w:p>
        </w:tc>
        <w:tc>
          <w:tcPr>
            <w:tcW w:w="3591" w:type="dxa"/>
          </w:tcPr>
          <w:p w:rsidR="009D5A6A" w:rsidRPr="00681C2B" w:rsidRDefault="009D5A6A" w:rsidP="004B0D73">
            <w:pPr>
              <w:jc w:val="both"/>
              <w:rPr>
                <w:color w:val="000000"/>
              </w:rPr>
            </w:pPr>
            <w:r w:rsidRPr="00681C2B">
              <w:rPr>
                <w:color w:val="000000"/>
              </w:rPr>
              <w:t>Долговой инструмент по договору кредита не будет возникать, если деньги будут получены до даты заключения кредитного договора.</w:t>
            </w:r>
          </w:p>
          <w:p w:rsidR="009D5A6A" w:rsidRPr="00681C2B" w:rsidRDefault="009D5A6A" w:rsidP="004B0D73">
            <w:pPr>
              <w:pStyle w:val="a6"/>
              <w:spacing w:before="120" w:after="120"/>
              <w:ind w:left="0"/>
              <w:jc w:val="both"/>
            </w:pPr>
          </w:p>
        </w:tc>
        <w:tc>
          <w:tcPr>
            <w:tcW w:w="3691" w:type="dxa"/>
          </w:tcPr>
          <w:p w:rsidR="009D5A6A" w:rsidRDefault="009D5A6A" w:rsidP="005A266C">
            <w:pPr>
              <w:tabs>
                <w:tab w:val="left" w:pos="840"/>
                <w:tab w:val="left" w:pos="1050"/>
              </w:tabs>
              <w:rPr>
                <w:rFonts w:ascii="Arial Narrow" w:hAnsi="Arial Narrow"/>
                <w:color w:val="0070C0"/>
              </w:rPr>
            </w:pPr>
            <w:r w:rsidRPr="00C72A6F">
              <w:rPr>
                <w:rFonts w:ascii="Arial Narrow" w:hAnsi="Arial Narrow"/>
                <w:color w:val="0070C0"/>
              </w:rPr>
              <w:t>Учтено</w:t>
            </w:r>
            <w:r>
              <w:rPr>
                <w:rFonts w:ascii="Arial Narrow" w:hAnsi="Arial Narrow"/>
                <w:color w:val="0070C0"/>
              </w:rPr>
              <w:t>.</w:t>
            </w:r>
          </w:p>
          <w:p w:rsidR="009D5A6A" w:rsidRPr="00C72A6F" w:rsidRDefault="009D5A6A" w:rsidP="005A266C">
            <w:pPr>
              <w:tabs>
                <w:tab w:val="left" w:pos="840"/>
                <w:tab w:val="left" w:pos="1050"/>
              </w:tabs>
              <w:rPr>
                <w:rFonts w:ascii="Arial Narrow" w:hAnsi="Arial Narrow"/>
                <w:color w:val="0070C0"/>
              </w:rPr>
            </w:pPr>
            <w:r>
              <w:rPr>
                <w:rFonts w:ascii="Arial Narrow" w:hAnsi="Arial Narrow"/>
                <w:color w:val="0070C0"/>
              </w:rPr>
              <w:t>Пункт 8 изложен в новой редакции</w:t>
            </w:r>
          </w:p>
        </w:tc>
      </w:tr>
      <w:tr w:rsidR="009D5A6A" w:rsidRPr="00681C2B" w:rsidTr="005A266C">
        <w:trPr>
          <w:trHeight w:val="852"/>
          <w:jc w:val="center"/>
        </w:trPr>
        <w:tc>
          <w:tcPr>
            <w:tcW w:w="613" w:type="dxa"/>
          </w:tcPr>
          <w:p w:rsidR="009D5A6A" w:rsidRPr="00681C2B" w:rsidRDefault="009D5A6A" w:rsidP="00D00225">
            <w:pPr>
              <w:pStyle w:val="a6"/>
              <w:spacing w:before="120" w:after="120"/>
              <w:ind w:left="0"/>
              <w:jc w:val="center"/>
            </w:pPr>
            <w:r w:rsidRPr="00681C2B">
              <w:t>4</w:t>
            </w:r>
          </w:p>
        </w:tc>
        <w:tc>
          <w:tcPr>
            <w:tcW w:w="3590" w:type="dxa"/>
          </w:tcPr>
          <w:p w:rsidR="009D5A6A" w:rsidRPr="00681C2B" w:rsidRDefault="009D5A6A" w:rsidP="00BC1E7A">
            <w:pPr>
              <w:jc w:val="both"/>
              <w:rPr>
                <w:color w:val="000000"/>
              </w:rPr>
            </w:pPr>
            <w:r>
              <w:rPr>
                <w:color w:val="000000"/>
              </w:rPr>
              <w:t>Редакция</w:t>
            </w:r>
            <w:r w:rsidRPr="00681C2B">
              <w:rPr>
                <w:color w:val="000000"/>
              </w:rPr>
              <w:t xml:space="preserve"> проекта ФСБУ «ДКЗ» от 29.08.2017, раздел </w:t>
            </w:r>
            <w:r w:rsidRPr="00681C2B">
              <w:rPr>
                <w:color w:val="000000"/>
                <w:lang w:val="en-US"/>
              </w:rPr>
              <w:t>II</w:t>
            </w:r>
            <w:r w:rsidRPr="00681C2B">
              <w:rPr>
                <w:color w:val="000000"/>
              </w:rPr>
              <w:t>, п.12</w:t>
            </w:r>
          </w:p>
          <w:p w:rsidR="009D5A6A" w:rsidRPr="00681C2B" w:rsidRDefault="009D5A6A" w:rsidP="002E6018">
            <w:pPr>
              <w:jc w:val="both"/>
              <w:rPr>
                <w:color w:val="000000"/>
              </w:rPr>
            </w:pPr>
            <w:r w:rsidRPr="00681C2B">
              <w:rPr>
                <w:color w:val="000000"/>
              </w:rPr>
              <w:t>Организация самостоятельно определяет степень детализации аналитического учета долговых инструментов с целью формирования полной и достоверной информации по ним. В зависимости от вида долговых инструментов, модели получения экономических выгод от них в аналитическом учете могут выделяться отдельные долговые инструменты, партии, серии, однородные совокупности долговых инструментов и т.д.</w:t>
            </w:r>
          </w:p>
        </w:tc>
        <w:tc>
          <w:tcPr>
            <w:tcW w:w="4553" w:type="dxa"/>
          </w:tcPr>
          <w:p w:rsidR="009D5A6A" w:rsidRPr="00681C2B" w:rsidRDefault="009D5A6A" w:rsidP="009231A2">
            <w:pPr>
              <w:jc w:val="both"/>
              <w:rPr>
                <w:color w:val="000000"/>
              </w:rPr>
            </w:pPr>
            <w:r w:rsidRPr="00681C2B">
              <w:rPr>
                <w:color w:val="000000"/>
              </w:rPr>
              <w:t xml:space="preserve">Редакция проекта ФСБУ «ДКЗ» от 29.08.2017, раздел </w:t>
            </w:r>
            <w:r w:rsidRPr="00681C2B">
              <w:rPr>
                <w:color w:val="000000"/>
                <w:lang w:val="en-US"/>
              </w:rPr>
              <w:t>II</w:t>
            </w:r>
            <w:r w:rsidRPr="00681C2B">
              <w:rPr>
                <w:color w:val="000000"/>
              </w:rPr>
              <w:t>, п.12</w:t>
            </w:r>
          </w:p>
          <w:p w:rsidR="009D5A6A" w:rsidRPr="00681C2B" w:rsidRDefault="009D5A6A" w:rsidP="002E6018">
            <w:pPr>
              <w:jc w:val="both"/>
              <w:rPr>
                <w:color w:val="000000"/>
              </w:rPr>
            </w:pPr>
            <w:r w:rsidRPr="00681C2B">
              <w:rPr>
                <w:color w:val="000000"/>
              </w:rPr>
              <w:t>Организация самостоятельно определяет степень детализации аналитического учета долговых инструментов с целью формирования полной и достоверной информации по ним.</w:t>
            </w:r>
          </w:p>
          <w:p w:rsidR="009D5A6A" w:rsidRPr="00681C2B" w:rsidRDefault="009D5A6A" w:rsidP="002E6018">
            <w:pPr>
              <w:jc w:val="both"/>
              <w:rPr>
                <w:color w:val="000000"/>
              </w:rPr>
            </w:pPr>
            <w:r w:rsidRPr="00681C2B">
              <w:rPr>
                <w:color w:val="000000"/>
              </w:rPr>
              <w:br/>
            </w:r>
            <w:r>
              <w:rPr>
                <w:color w:val="000000"/>
              </w:rPr>
              <w:t xml:space="preserve">Редакция </w:t>
            </w:r>
            <w:r w:rsidRPr="00681C2B">
              <w:rPr>
                <w:color w:val="000000"/>
              </w:rPr>
              <w:t xml:space="preserve">проекта ФСБУ «ДКЗ» от 29.08.2017, раздел </w:t>
            </w:r>
            <w:r w:rsidRPr="00681C2B">
              <w:rPr>
                <w:color w:val="000000"/>
                <w:lang w:val="en-US"/>
              </w:rPr>
              <w:t>II</w:t>
            </w:r>
            <w:r w:rsidRPr="00681C2B">
              <w:rPr>
                <w:color w:val="000000"/>
              </w:rPr>
              <w:t>, п.13</w:t>
            </w:r>
          </w:p>
          <w:p w:rsidR="009D5A6A" w:rsidRPr="00681C2B" w:rsidRDefault="009D5A6A" w:rsidP="004B0D73">
            <w:pPr>
              <w:jc w:val="both"/>
              <w:rPr>
                <w:color w:val="000000"/>
              </w:rPr>
            </w:pPr>
            <w:r w:rsidRPr="00681C2B">
              <w:rPr>
                <w:color w:val="000000"/>
              </w:rPr>
              <w:t xml:space="preserve">В зависимости от вида долговых инструментов, модели получения экономических выгод от них </w:t>
            </w:r>
            <w:r w:rsidRPr="00681C2B">
              <w:rPr>
                <w:b/>
              </w:rPr>
              <w:t>организация может выделять в качестве единицы учета</w:t>
            </w:r>
            <w:r w:rsidRPr="00681C2B">
              <w:t xml:space="preserve"> </w:t>
            </w:r>
            <w:r w:rsidRPr="00681C2B">
              <w:rPr>
                <w:color w:val="000000"/>
              </w:rPr>
              <w:t>отдельные долговые инструменты, партии, серии, однородные совокупности долговых инструментов и т.д.</w:t>
            </w:r>
          </w:p>
        </w:tc>
        <w:tc>
          <w:tcPr>
            <w:tcW w:w="3591" w:type="dxa"/>
          </w:tcPr>
          <w:p w:rsidR="009D5A6A" w:rsidRPr="00681C2B" w:rsidRDefault="009D5A6A" w:rsidP="004B0D73">
            <w:pPr>
              <w:jc w:val="both"/>
              <w:rPr>
                <w:color w:val="000000"/>
              </w:rPr>
            </w:pPr>
            <w:r w:rsidRPr="00681C2B">
              <w:rPr>
                <w:color w:val="000000"/>
              </w:rPr>
              <w:t>Здесь смешаны понятия аналитического учета и единицы учета.</w:t>
            </w:r>
          </w:p>
          <w:p w:rsidR="009D5A6A" w:rsidRPr="00681C2B" w:rsidRDefault="009D5A6A" w:rsidP="004B0D73">
            <w:pPr>
              <w:pStyle w:val="a6"/>
              <w:spacing w:before="120" w:after="120"/>
              <w:ind w:left="0"/>
              <w:jc w:val="both"/>
            </w:pPr>
          </w:p>
        </w:tc>
        <w:tc>
          <w:tcPr>
            <w:tcW w:w="3691" w:type="dxa"/>
          </w:tcPr>
          <w:p w:rsidR="009D5A6A" w:rsidRDefault="009D5A6A" w:rsidP="005A266C">
            <w:pPr>
              <w:tabs>
                <w:tab w:val="left" w:pos="840"/>
                <w:tab w:val="left" w:pos="1050"/>
              </w:tabs>
              <w:rPr>
                <w:rFonts w:ascii="Arial Narrow" w:hAnsi="Arial Narrow"/>
                <w:color w:val="0070C0"/>
              </w:rPr>
            </w:pPr>
            <w:r w:rsidRPr="00C72A6F">
              <w:rPr>
                <w:rFonts w:ascii="Arial Narrow" w:hAnsi="Arial Narrow"/>
                <w:color w:val="0070C0"/>
              </w:rPr>
              <w:t>Учтено</w:t>
            </w:r>
            <w:r>
              <w:rPr>
                <w:rFonts w:ascii="Arial Narrow" w:hAnsi="Arial Narrow"/>
                <w:color w:val="0070C0"/>
              </w:rPr>
              <w:t>.</w:t>
            </w:r>
          </w:p>
          <w:p w:rsidR="009D5A6A" w:rsidRPr="00C72A6F" w:rsidRDefault="009D5A6A" w:rsidP="005A266C">
            <w:pPr>
              <w:tabs>
                <w:tab w:val="left" w:pos="840"/>
                <w:tab w:val="left" w:pos="1050"/>
              </w:tabs>
              <w:rPr>
                <w:rFonts w:ascii="Arial Narrow" w:hAnsi="Arial Narrow"/>
                <w:color w:val="0070C0"/>
              </w:rPr>
            </w:pPr>
            <w:r>
              <w:rPr>
                <w:rFonts w:ascii="Arial Narrow" w:hAnsi="Arial Narrow"/>
                <w:color w:val="0070C0"/>
              </w:rPr>
              <w:t>Уточнена редакция пункта 10.</w:t>
            </w: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lastRenderedPageBreak/>
              <w:t>5</w:t>
            </w:r>
          </w:p>
        </w:tc>
        <w:tc>
          <w:tcPr>
            <w:tcW w:w="3590" w:type="dxa"/>
          </w:tcPr>
          <w:p w:rsidR="00C72A6F" w:rsidRPr="00681C2B" w:rsidRDefault="00C72A6F" w:rsidP="009231A2">
            <w:pPr>
              <w:jc w:val="both"/>
              <w:rPr>
                <w:color w:val="000000"/>
              </w:rPr>
            </w:pPr>
            <w:r w:rsidRPr="00681C2B">
              <w:rPr>
                <w:color w:val="000000"/>
              </w:rPr>
              <w:t>Редакция проекта ФСБУ «ДКЗ» от 29.08.2017, п.14</w:t>
            </w:r>
          </w:p>
          <w:p w:rsidR="00C72A6F" w:rsidRPr="00681C2B" w:rsidRDefault="00C72A6F" w:rsidP="00587214">
            <w:pPr>
              <w:jc w:val="both"/>
              <w:rPr>
                <w:color w:val="000000"/>
              </w:rPr>
            </w:pPr>
            <w:r w:rsidRPr="00681C2B">
              <w:rPr>
                <w:color w:val="000000"/>
              </w:rPr>
              <w:t>Фактическая стоимость дебиторской задолженности покупателя по оплате проданных ему организацией продукции, товаров, работ, услуг определяется как сумма, которая взималась бы организацией с покупателя за соответствующий предмет продажи на условиях отсутствия отсрочки (рассрочки) платежей, за вычетом уже фактически полученных от покупателя сумм.</w:t>
            </w:r>
          </w:p>
        </w:tc>
        <w:tc>
          <w:tcPr>
            <w:tcW w:w="4553" w:type="dxa"/>
          </w:tcPr>
          <w:p w:rsidR="00C72A6F" w:rsidRPr="00681C2B" w:rsidRDefault="00C72A6F" w:rsidP="009231A2">
            <w:pPr>
              <w:jc w:val="both"/>
              <w:rPr>
                <w:color w:val="000000"/>
              </w:rPr>
            </w:pPr>
            <w:r w:rsidRPr="00681C2B">
              <w:rPr>
                <w:color w:val="000000"/>
              </w:rPr>
              <w:t>Редакция проекта ФСБУ «ДКЗ» от 29.08.2017, п.14</w:t>
            </w:r>
          </w:p>
          <w:p w:rsidR="00C72A6F" w:rsidRPr="00681C2B" w:rsidRDefault="00C72A6F" w:rsidP="004B0D73">
            <w:pPr>
              <w:jc w:val="both"/>
              <w:rPr>
                <w:color w:val="000000"/>
              </w:rPr>
            </w:pPr>
            <w:r w:rsidRPr="00681C2B">
              <w:rPr>
                <w:color w:val="000000"/>
              </w:rPr>
              <w:t>Краткосрочная дебиторская задолженность покупателя по оплате проданных ему организацией продукции, товаров, работ, услуг первоначально оценивается по номинальной стоимости. Долгосрочная дебиторская задолженность первоначально оценивается по приведенной стоимости.</w:t>
            </w:r>
          </w:p>
          <w:p w:rsidR="00C72A6F" w:rsidRPr="00681C2B" w:rsidRDefault="00C72A6F" w:rsidP="004B0D73">
            <w:pPr>
              <w:pStyle w:val="a6"/>
              <w:ind w:left="0"/>
              <w:jc w:val="both"/>
            </w:pPr>
          </w:p>
        </w:tc>
        <w:tc>
          <w:tcPr>
            <w:tcW w:w="3591" w:type="dxa"/>
          </w:tcPr>
          <w:p w:rsidR="00C72A6F" w:rsidRPr="00681C2B" w:rsidRDefault="00C72A6F" w:rsidP="004B0D73">
            <w:pPr>
              <w:jc w:val="both"/>
              <w:rPr>
                <w:color w:val="000000"/>
              </w:rPr>
            </w:pPr>
            <w:r w:rsidRPr="00681C2B">
              <w:rPr>
                <w:color w:val="000000"/>
              </w:rPr>
              <w:t>Сложная формулировка, требует разъяснений.</w:t>
            </w:r>
            <w:r w:rsidRPr="00681C2B">
              <w:rPr>
                <w:color w:val="000000"/>
              </w:rPr>
              <w:br/>
              <w:t>К тому же хотя бы маленькая рассрочка есть почти всегда (10 дней, 30 дней и т.д.), как определить в таком случае фактическую стоимость?</w:t>
            </w:r>
          </w:p>
          <w:p w:rsidR="00C72A6F" w:rsidRPr="00681C2B" w:rsidRDefault="00C72A6F" w:rsidP="004B0D73">
            <w:pPr>
              <w:pStyle w:val="a6"/>
              <w:spacing w:before="120" w:after="120"/>
              <w:ind w:left="0"/>
              <w:jc w:val="both"/>
            </w:pPr>
          </w:p>
        </w:tc>
        <w:tc>
          <w:tcPr>
            <w:tcW w:w="3691" w:type="dxa"/>
          </w:tcPr>
          <w:p w:rsidR="00C72A6F" w:rsidRPr="00C72A6F" w:rsidRDefault="00C72A6F" w:rsidP="005A266C">
            <w:pPr>
              <w:rPr>
                <w:rFonts w:ascii="Arial Narrow" w:hAnsi="Arial Narrow"/>
                <w:color w:val="0070C0"/>
              </w:rPr>
            </w:pPr>
            <w:r w:rsidRPr="00C72A6F">
              <w:rPr>
                <w:rFonts w:ascii="Arial Narrow" w:hAnsi="Arial Narrow"/>
                <w:color w:val="0070C0"/>
              </w:rPr>
              <w:t xml:space="preserve">Учтено </w:t>
            </w:r>
            <w:r w:rsidR="00896DFC">
              <w:rPr>
                <w:rFonts w:ascii="Arial Narrow" w:hAnsi="Arial Narrow"/>
                <w:color w:val="0070C0"/>
              </w:rPr>
              <w:t>путем включения пункта 23 и изложения пункта 11 в новой редакции со ссылкой на п.23.</w:t>
            </w:r>
            <w:r w:rsidRPr="00C72A6F">
              <w:rPr>
                <w:rFonts w:ascii="Arial Narrow" w:hAnsi="Arial Narrow"/>
                <w:color w:val="0070C0"/>
              </w:rPr>
              <w:t>.</w:t>
            </w:r>
          </w:p>
        </w:tc>
      </w:tr>
      <w:tr w:rsidR="00896DFC" w:rsidRPr="00681C2B" w:rsidTr="005A266C">
        <w:trPr>
          <w:trHeight w:val="852"/>
          <w:jc w:val="center"/>
        </w:trPr>
        <w:tc>
          <w:tcPr>
            <w:tcW w:w="613" w:type="dxa"/>
          </w:tcPr>
          <w:p w:rsidR="00896DFC" w:rsidRPr="00681C2B" w:rsidRDefault="00896DFC" w:rsidP="00D00225">
            <w:pPr>
              <w:pStyle w:val="a6"/>
              <w:spacing w:before="120" w:after="120"/>
              <w:ind w:left="0"/>
              <w:jc w:val="center"/>
            </w:pPr>
            <w:r w:rsidRPr="00681C2B">
              <w:t>6</w:t>
            </w:r>
          </w:p>
        </w:tc>
        <w:tc>
          <w:tcPr>
            <w:tcW w:w="3590" w:type="dxa"/>
          </w:tcPr>
          <w:p w:rsidR="00896DFC" w:rsidRPr="00681C2B" w:rsidRDefault="00896DFC" w:rsidP="00453D96">
            <w:pPr>
              <w:jc w:val="both"/>
              <w:rPr>
                <w:color w:val="000000"/>
              </w:rPr>
            </w:pPr>
            <w:r w:rsidRPr="00681C2B">
              <w:rPr>
                <w:color w:val="000000"/>
              </w:rPr>
              <w:t>Редакция проекта ФСБУ «ДКЗ» от 29.08.2017, п. 15</w:t>
            </w:r>
          </w:p>
          <w:p w:rsidR="00896DFC" w:rsidRPr="00681C2B" w:rsidRDefault="00896DFC" w:rsidP="00453D96">
            <w:pPr>
              <w:jc w:val="both"/>
              <w:rPr>
                <w:color w:val="000000"/>
              </w:rPr>
            </w:pPr>
            <w:r w:rsidRPr="00681C2B">
              <w:rPr>
                <w:color w:val="000000"/>
              </w:rPr>
              <w:t>Фактическая стоимость кредиторской задолженности организации перед поставщиками по оплате приобретения запасов, основных средств, нематериальных и других активов определяется как сумма, которая была бы уплачена организацией за соответствующие активы на условиях отсутствия отсрочки (рассрочки) платежей, за вычетом уже фактически уплаченных организацией сумм.</w:t>
            </w:r>
          </w:p>
        </w:tc>
        <w:tc>
          <w:tcPr>
            <w:tcW w:w="4553" w:type="dxa"/>
          </w:tcPr>
          <w:p w:rsidR="00896DFC" w:rsidRPr="00681C2B" w:rsidRDefault="00896DFC" w:rsidP="00453D96">
            <w:pPr>
              <w:jc w:val="both"/>
              <w:rPr>
                <w:color w:val="000000"/>
              </w:rPr>
            </w:pPr>
            <w:r w:rsidRPr="00681C2B">
              <w:rPr>
                <w:color w:val="000000"/>
              </w:rPr>
              <w:t>Редакция проекта ФСБУ «ДКЗ» от 29.08.2017, п. 15</w:t>
            </w:r>
          </w:p>
          <w:p w:rsidR="00896DFC" w:rsidRPr="00681C2B" w:rsidRDefault="00896DFC" w:rsidP="004B0D73">
            <w:pPr>
              <w:jc w:val="both"/>
              <w:rPr>
                <w:color w:val="000000"/>
              </w:rPr>
            </w:pPr>
            <w:r w:rsidRPr="00681C2B">
              <w:rPr>
                <w:color w:val="000000"/>
              </w:rPr>
              <w:t>Краткосрочная кредиторская задолженность организации перед поставщиками по оплате приобретения</w:t>
            </w:r>
            <w:r w:rsidRPr="00681C2B">
              <w:rPr>
                <w:color w:val="FF0000"/>
              </w:rPr>
              <w:t xml:space="preserve"> </w:t>
            </w:r>
            <w:r w:rsidRPr="00681C2B">
              <w:t>продукции, товаров, работ, услуг</w:t>
            </w:r>
            <w:r w:rsidRPr="00681C2B">
              <w:rPr>
                <w:color w:val="000000"/>
              </w:rPr>
              <w:t xml:space="preserve"> первоначально оценивается по номинальной стоимости. Долгосрочная кредиторская задолженность  первоначально оценивается по приведенной стоимости.</w:t>
            </w:r>
          </w:p>
          <w:p w:rsidR="00896DFC" w:rsidRPr="00681C2B" w:rsidRDefault="00896DFC" w:rsidP="004B0D73">
            <w:pPr>
              <w:pStyle w:val="a6"/>
              <w:ind w:left="0"/>
              <w:jc w:val="both"/>
            </w:pPr>
          </w:p>
        </w:tc>
        <w:tc>
          <w:tcPr>
            <w:tcW w:w="3591" w:type="dxa"/>
          </w:tcPr>
          <w:p w:rsidR="00896DFC" w:rsidRPr="00681C2B" w:rsidRDefault="00896DFC" w:rsidP="004B0D73">
            <w:pPr>
              <w:jc w:val="both"/>
              <w:rPr>
                <w:color w:val="000000"/>
              </w:rPr>
            </w:pPr>
            <w:r w:rsidRPr="00681C2B">
              <w:rPr>
                <w:color w:val="000000"/>
              </w:rPr>
              <w:t>как в пункте по дебиторской задолженности</w:t>
            </w:r>
          </w:p>
          <w:p w:rsidR="00896DFC" w:rsidRPr="00681C2B" w:rsidRDefault="00896DFC" w:rsidP="004B0D73">
            <w:pPr>
              <w:pStyle w:val="a6"/>
              <w:spacing w:before="120" w:after="120"/>
              <w:ind w:left="0"/>
              <w:jc w:val="both"/>
            </w:pPr>
          </w:p>
        </w:tc>
        <w:tc>
          <w:tcPr>
            <w:tcW w:w="3691" w:type="dxa"/>
          </w:tcPr>
          <w:p w:rsidR="00896DFC" w:rsidRPr="00C72A6F" w:rsidRDefault="00896DFC" w:rsidP="005A266C">
            <w:pPr>
              <w:rPr>
                <w:rFonts w:ascii="Arial Narrow" w:hAnsi="Arial Narrow"/>
                <w:color w:val="0070C0"/>
              </w:rPr>
            </w:pPr>
            <w:r w:rsidRPr="00C72A6F">
              <w:rPr>
                <w:rFonts w:ascii="Arial Narrow" w:hAnsi="Arial Narrow"/>
                <w:color w:val="0070C0"/>
              </w:rPr>
              <w:t xml:space="preserve">Учтено </w:t>
            </w:r>
            <w:r>
              <w:rPr>
                <w:rFonts w:ascii="Arial Narrow" w:hAnsi="Arial Narrow"/>
                <w:color w:val="0070C0"/>
              </w:rPr>
              <w:t>путем включения пункта 23 и изложения пункта 11 в новой редакции со ссылкой на п.23.</w:t>
            </w:r>
            <w:r w:rsidRPr="00C72A6F">
              <w:rPr>
                <w:rFonts w:ascii="Arial Narrow" w:hAnsi="Arial Narrow"/>
                <w:color w:val="0070C0"/>
              </w:rPr>
              <w:t>.</w:t>
            </w: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t>7</w:t>
            </w:r>
          </w:p>
        </w:tc>
        <w:tc>
          <w:tcPr>
            <w:tcW w:w="3590" w:type="dxa"/>
          </w:tcPr>
          <w:p w:rsidR="00C72A6F" w:rsidRPr="00681C2B" w:rsidRDefault="00C72A6F" w:rsidP="004B0D73">
            <w:pPr>
              <w:jc w:val="both"/>
              <w:rPr>
                <w:color w:val="000000"/>
              </w:rPr>
            </w:pPr>
            <w:r w:rsidRPr="00681C2B">
              <w:rPr>
                <w:color w:val="000000"/>
              </w:rPr>
              <w:t xml:space="preserve">Раздел </w:t>
            </w:r>
            <w:r w:rsidRPr="00681C2B">
              <w:rPr>
                <w:color w:val="000000"/>
                <w:lang w:val="en-US"/>
              </w:rPr>
              <w:t>III</w:t>
            </w:r>
            <w:r w:rsidRPr="00681C2B">
              <w:rPr>
                <w:color w:val="000000"/>
              </w:rPr>
              <w:t>, п.14</w:t>
            </w:r>
          </w:p>
          <w:p w:rsidR="00C72A6F" w:rsidRPr="00681C2B" w:rsidRDefault="00C72A6F" w:rsidP="004B0D73">
            <w:pPr>
              <w:jc w:val="both"/>
              <w:rPr>
                <w:color w:val="000000"/>
              </w:rPr>
            </w:pPr>
            <w:r w:rsidRPr="00681C2B">
              <w:rPr>
                <w:color w:val="000000"/>
              </w:rPr>
              <w:t xml:space="preserve">Фактическая стоимость </w:t>
            </w:r>
            <w:r w:rsidRPr="00681C2B">
              <w:rPr>
                <w:bCs/>
                <w:color w:val="000000"/>
              </w:rPr>
              <w:t xml:space="preserve">дебиторской задолженности </w:t>
            </w:r>
            <w:r w:rsidRPr="00681C2B">
              <w:rPr>
                <w:bCs/>
                <w:color w:val="000000"/>
              </w:rPr>
              <w:lastRenderedPageBreak/>
              <w:t>лизингодателя или кредиторской задолженности лизингополучателя по лизинговым платежам определяется как цена приобретения лизингодателем предмета лизинга у поставщика для лизингополучателя за вычетом уже фактически уплаченных лизингополучателем лизингодателю сумм.</w:t>
            </w:r>
          </w:p>
        </w:tc>
        <w:tc>
          <w:tcPr>
            <w:tcW w:w="4553" w:type="dxa"/>
          </w:tcPr>
          <w:p w:rsidR="00C72A6F" w:rsidRPr="00681C2B" w:rsidRDefault="00C72A6F" w:rsidP="004B0D73">
            <w:pPr>
              <w:pStyle w:val="a6"/>
              <w:ind w:left="0"/>
              <w:jc w:val="both"/>
            </w:pPr>
          </w:p>
        </w:tc>
        <w:tc>
          <w:tcPr>
            <w:tcW w:w="3591" w:type="dxa"/>
          </w:tcPr>
          <w:p w:rsidR="00C72A6F" w:rsidRPr="00681C2B" w:rsidRDefault="00C72A6F" w:rsidP="004B0D73">
            <w:pPr>
              <w:jc w:val="both"/>
              <w:rPr>
                <w:color w:val="000000"/>
              </w:rPr>
            </w:pPr>
            <w:r w:rsidRPr="00681C2B">
              <w:rPr>
                <w:color w:val="000000"/>
              </w:rPr>
              <w:t>Предлагаем устранить противоречия с ФСБУ "Учет аренды".</w:t>
            </w:r>
          </w:p>
          <w:p w:rsidR="00C72A6F" w:rsidRPr="005A266C" w:rsidRDefault="00C72A6F" w:rsidP="004B0D73">
            <w:pPr>
              <w:jc w:val="both"/>
              <w:rPr>
                <w:b/>
                <w:bCs/>
                <w:color w:val="000000"/>
                <w:sz w:val="20"/>
              </w:rPr>
            </w:pPr>
            <w:r w:rsidRPr="00681C2B">
              <w:rPr>
                <w:color w:val="000000"/>
              </w:rPr>
              <w:lastRenderedPageBreak/>
              <w:t xml:space="preserve">                                                                                     </w:t>
            </w:r>
            <w:r w:rsidRPr="005A266C">
              <w:rPr>
                <w:b/>
                <w:bCs/>
                <w:color w:val="000000"/>
                <w:sz w:val="20"/>
              </w:rPr>
              <w:t xml:space="preserve">ФСБУ "Учет аренды" </w:t>
            </w:r>
          </w:p>
          <w:p w:rsidR="00C72A6F" w:rsidRPr="005A266C" w:rsidRDefault="00C72A6F" w:rsidP="004B0D73">
            <w:pPr>
              <w:jc w:val="both"/>
              <w:rPr>
                <w:color w:val="000000"/>
                <w:sz w:val="20"/>
              </w:rPr>
            </w:pPr>
            <w:r w:rsidRPr="005A266C">
              <w:rPr>
                <w:color w:val="000000"/>
                <w:sz w:val="20"/>
              </w:rPr>
              <w:t>Пункт 12.  Предмет аренды принимается к бухгалтерскому учету а</w:t>
            </w:r>
            <w:r w:rsidRPr="005A266C">
              <w:rPr>
                <w:b/>
                <w:bCs/>
                <w:color w:val="000000"/>
                <w:sz w:val="20"/>
              </w:rPr>
              <w:t xml:space="preserve">рендатора в качестве права пользования активом </w:t>
            </w:r>
            <w:r w:rsidRPr="005A266C">
              <w:rPr>
                <w:color w:val="000000"/>
                <w:sz w:val="20"/>
              </w:rPr>
              <w:t xml:space="preserve">и отражается в составе нефинансовых активов как самостоятельный объект бухгалтерского учета.  Пункт 16. </w:t>
            </w:r>
            <w:r w:rsidRPr="005A266C">
              <w:rPr>
                <w:b/>
                <w:bCs/>
                <w:color w:val="000000"/>
                <w:sz w:val="20"/>
              </w:rPr>
              <w:t xml:space="preserve">Первоначальная оценка задолженности по аренде определяется как приведенная стоимость арендных платежей, не осуществленных на указанную дату.              </w:t>
            </w:r>
            <w:r w:rsidRPr="005A266C">
              <w:rPr>
                <w:bCs/>
                <w:color w:val="000000"/>
                <w:sz w:val="20"/>
              </w:rPr>
              <w:t>Пункт 38</w:t>
            </w:r>
            <w:r w:rsidRPr="005A266C">
              <w:rPr>
                <w:color w:val="000000"/>
                <w:sz w:val="20"/>
              </w:rPr>
              <w:t>. Арендодатель на дату начала аренды:</w:t>
            </w:r>
            <w:r w:rsidRPr="005A266C">
              <w:rPr>
                <w:color w:val="000000"/>
                <w:sz w:val="20"/>
              </w:rPr>
              <w:br/>
              <w:t>а) отражает сформированную фактическую стоимость предмета аренды:</w:t>
            </w:r>
            <w:r w:rsidRPr="005A266C">
              <w:rPr>
                <w:color w:val="000000"/>
                <w:sz w:val="20"/>
              </w:rPr>
              <w:br/>
              <w:t>в отношении о</w:t>
            </w:r>
            <w:r w:rsidRPr="005A266C">
              <w:rPr>
                <w:b/>
                <w:bCs/>
                <w:color w:val="000000"/>
                <w:sz w:val="20"/>
              </w:rPr>
              <w:t xml:space="preserve">бъектов учета </w:t>
            </w:r>
            <w:proofErr w:type="spellStart"/>
            <w:r w:rsidRPr="005A266C">
              <w:rPr>
                <w:b/>
                <w:bCs/>
                <w:color w:val="000000"/>
                <w:sz w:val="20"/>
              </w:rPr>
              <w:t>неоперационной</w:t>
            </w:r>
            <w:proofErr w:type="spellEnd"/>
            <w:r w:rsidRPr="005A266C">
              <w:rPr>
                <w:b/>
                <w:bCs/>
                <w:color w:val="000000"/>
                <w:sz w:val="20"/>
              </w:rPr>
              <w:t xml:space="preserve"> (финансовой) аренды – обособленно в составе дебиторской задолженности в качестве чистой инвестиции в аренду </w:t>
            </w:r>
            <w:r w:rsidRPr="005A266C">
              <w:rPr>
                <w:color w:val="000000"/>
                <w:sz w:val="20"/>
              </w:rPr>
              <w:t xml:space="preserve">с одновременным отражением стоимости предмета аренды на </w:t>
            </w:r>
            <w:proofErr w:type="spellStart"/>
            <w:r w:rsidRPr="005A266C">
              <w:rPr>
                <w:color w:val="000000"/>
                <w:sz w:val="20"/>
              </w:rPr>
              <w:t>забалансовом</w:t>
            </w:r>
            <w:proofErr w:type="spellEnd"/>
            <w:r w:rsidRPr="005A266C">
              <w:rPr>
                <w:color w:val="000000"/>
                <w:sz w:val="20"/>
              </w:rPr>
              <w:t xml:space="preserve"> счете; </w:t>
            </w:r>
          </w:p>
          <w:p w:rsidR="00C72A6F" w:rsidRPr="00681C2B" w:rsidRDefault="00C72A6F" w:rsidP="004B0D73">
            <w:pPr>
              <w:jc w:val="both"/>
              <w:rPr>
                <w:color w:val="000000"/>
              </w:rPr>
            </w:pPr>
            <w:r w:rsidRPr="005A266C">
              <w:rPr>
                <w:bCs/>
                <w:color w:val="000000"/>
                <w:sz w:val="20"/>
              </w:rPr>
              <w:t>Пункт 37.</w:t>
            </w:r>
            <w:r w:rsidRPr="005A266C">
              <w:rPr>
                <w:b/>
                <w:bCs/>
                <w:color w:val="000000"/>
                <w:sz w:val="20"/>
              </w:rPr>
              <w:t xml:space="preserve"> </w:t>
            </w:r>
            <w:r w:rsidRPr="005A266C">
              <w:rPr>
                <w:color w:val="000000"/>
                <w:sz w:val="20"/>
              </w:rPr>
              <w:t xml:space="preserve">Первоначальная стоимость </w:t>
            </w:r>
            <w:r w:rsidRPr="005A266C">
              <w:rPr>
                <w:b/>
                <w:bCs/>
                <w:color w:val="000000"/>
                <w:sz w:val="20"/>
              </w:rPr>
              <w:t xml:space="preserve">чистой инвестиции в </w:t>
            </w:r>
            <w:proofErr w:type="spellStart"/>
            <w:r w:rsidRPr="005A266C">
              <w:rPr>
                <w:b/>
                <w:bCs/>
                <w:color w:val="000000"/>
                <w:sz w:val="20"/>
              </w:rPr>
              <w:t>неоперационную</w:t>
            </w:r>
            <w:proofErr w:type="spellEnd"/>
            <w:r w:rsidRPr="005A266C">
              <w:rPr>
                <w:b/>
                <w:bCs/>
                <w:color w:val="000000"/>
                <w:sz w:val="20"/>
              </w:rPr>
              <w:t xml:space="preserve"> (финансовую) аренду определяется путем дисконтирования валовой стоимости </w:t>
            </w:r>
            <w:proofErr w:type="gramStart"/>
            <w:r w:rsidRPr="005A266C">
              <w:rPr>
                <w:b/>
                <w:bCs/>
                <w:color w:val="000000"/>
                <w:sz w:val="20"/>
              </w:rPr>
              <w:t>аренды</w:t>
            </w:r>
            <w:proofErr w:type="gramEnd"/>
            <w:r w:rsidRPr="005A266C">
              <w:rPr>
                <w:b/>
                <w:bCs/>
                <w:color w:val="000000"/>
                <w:sz w:val="20"/>
              </w:rPr>
              <w:t xml:space="preserve"> с использованием подразумеваемой в договоре аренды процентной ставки. </w:t>
            </w:r>
          </w:p>
        </w:tc>
        <w:tc>
          <w:tcPr>
            <w:tcW w:w="3691" w:type="dxa"/>
          </w:tcPr>
          <w:p w:rsidR="00C72A6F" w:rsidRDefault="00896DFC" w:rsidP="005A266C">
            <w:pPr>
              <w:rPr>
                <w:rFonts w:ascii="Arial Narrow" w:hAnsi="Arial Narrow"/>
                <w:color w:val="0070C0"/>
              </w:rPr>
            </w:pPr>
            <w:r>
              <w:rPr>
                <w:rFonts w:ascii="Arial Narrow" w:hAnsi="Arial Narrow"/>
                <w:color w:val="0070C0"/>
              </w:rPr>
              <w:lastRenderedPageBreak/>
              <w:t>Вопрос решен включением в Стандарт пункта 4.</w:t>
            </w:r>
          </w:p>
          <w:p w:rsidR="005A266C" w:rsidRDefault="005A266C" w:rsidP="005A266C">
            <w:pPr>
              <w:rPr>
                <w:rFonts w:ascii="Arial Narrow" w:hAnsi="Arial Narrow"/>
                <w:color w:val="0070C0"/>
              </w:rPr>
            </w:pPr>
          </w:p>
          <w:p w:rsidR="00896DFC" w:rsidRPr="00C72A6F" w:rsidRDefault="00896DFC" w:rsidP="005A266C">
            <w:pPr>
              <w:rPr>
                <w:rFonts w:ascii="Arial Narrow" w:hAnsi="Arial Narrow"/>
                <w:color w:val="0070C0"/>
              </w:rPr>
            </w:pPr>
            <w:r>
              <w:rPr>
                <w:rFonts w:ascii="Arial Narrow" w:hAnsi="Arial Narrow"/>
                <w:color w:val="0070C0"/>
              </w:rPr>
              <w:lastRenderedPageBreak/>
              <w:t>Исключать задолженность по аренде из сферы стандарта нецелесообразно ввиду неопределенности</w:t>
            </w:r>
            <w:r w:rsidR="005A266C">
              <w:rPr>
                <w:rFonts w:ascii="Arial Narrow" w:hAnsi="Arial Narrow"/>
                <w:color w:val="0070C0"/>
              </w:rPr>
              <w:t xml:space="preserve"> в сроках и последовательности введения обоих стандартов</w:t>
            </w: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lastRenderedPageBreak/>
              <w:t>8</w:t>
            </w:r>
          </w:p>
        </w:tc>
        <w:tc>
          <w:tcPr>
            <w:tcW w:w="3590" w:type="dxa"/>
          </w:tcPr>
          <w:p w:rsidR="00C72A6F" w:rsidRPr="00681C2B" w:rsidRDefault="00C72A6F" w:rsidP="004B0D73">
            <w:pPr>
              <w:jc w:val="both"/>
              <w:rPr>
                <w:color w:val="000000"/>
              </w:rPr>
            </w:pPr>
            <w:r w:rsidRPr="00681C2B">
              <w:rPr>
                <w:color w:val="000000"/>
              </w:rPr>
              <w:t xml:space="preserve">Раздел </w:t>
            </w:r>
            <w:r w:rsidRPr="00681C2B">
              <w:rPr>
                <w:color w:val="000000"/>
                <w:lang w:val="en-US"/>
              </w:rPr>
              <w:t>III</w:t>
            </w:r>
            <w:r w:rsidRPr="00681C2B">
              <w:rPr>
                <w:color w:val="000000"/>
              </w:rPr>
              <w:t xml:space="preserve"> п. 16</w:t>
            </w:r>
          </w:p>
          <w:p w:rsidR="00C72A6F" w:rsidRPr="00681C2B" w:rsidRDefault="00C72A6F" w:rsidP="004B0D73">
            <w:pPr>
              <w:jc w:val="both"/>
              <w:rPr>
                <w:color w:val="000000"/>
              </w:rPr>
            </w:pPr>
            <w:r w:rsidRPr="00681C2B">
              <w:rPr>
                <w:color w:val="000000"/>
              </w:rPr>
              <w:t xml:space="preserve">Фактическая стоимость эмитированной организацией облигации или другой долговой ценной бумаги определяется как фактически полученная от её </w:t>
            </w:r>
            <w:r w:rsidRPr="00681C2B">
              <w:rPr>
                <w:color w:val="000000"/>
              </w:rPr>
              <w:lastRenderedPageBreak/>
              <w:t>размещения денежная сумма после вычета всех связанных с выпуском затрат организации.</w:t>
            </w:r>
          </w:p>
        </w:tc>
        <w:tc>
          <w:tcPr>
            <w:tcW w:w="4553" w:type="dxa"/>
          </w:tcPr>
          <w:p w:rsidR="00C72A6F" w:rsidRPr="00681C2B" w:rsidRDefault="00C72A6F" w:rsidP="00453D96">
            <w:pPr>
              <w:jc w:val="both"/>
              <w:rPr>
                <w:color w:val="000000"/>
              </w:rPr>
            </w:pPr>
            <w:r w:rsidRPr="00681C2B">
              <w:rPr>
                <w:color w:val="000000"/>
              </w:rPr>
              <w:lastRenderedPageBreak/>
              <w:t xml:space="preserve">Раздел </w:t>
            </w:r>
            <w:r w:rsidRPr="00681C2B">
              <w:rPr>
                <w:color w:val="000000"/>
                <w:lang w:val="en-US"/>
              </w:rPr>
              <w:t>III</w:t>
            </w:r>
            <w:r w:rsidRPr="00681C2B">
              <w:rPr>
                <w:color w:val="000000"/>
              </w:rPr>
              <w:t xml:space="preserve"> п. 16</w:t>
            </w:r>
          </w:p>
          <w:p w:rsidR="00C72A6F" w:rsidRPr="00681C2B" w:rsidRDefault="00C72A6F" w:rsidP="004B0D73">
            <w:pPr>
              <w:jc w:val="both"/>
              <w:rPr>
                <w:color w:val="000000"/>
              </w:rPr>
            </w:pPr>
            <w:r w:rsidRPr="00681C2B">
              <w:rPr>
                <w:color w:val="000000"/>
              </w:rPr>
              <w:t xml:space="preserve">Фактическая стоимость эмитированной организацией облигации или другой долговой ценной бумаги определяется как фактически полученная от её размещения денежная сумма после </w:t>
            </w:r>
            <w:r w:rsidRPr="00681C2B">
              <w:rPr>
                <w:color w:val="000000"/>
              </w:rPr>
              <w:lastRenderedPageBreak/>
              <w:t xml:space="preserve">вычета </w:t>
            </w:r>
            <w:r w:rsidRPr="00681C2B">
              <w:rPr>
                <w:b/>
              </w:rPr>
              <w:t>дисконта</w:t>
            </w:r>
            <w:r w:rsidRPr="00681C2B">
              <w:rPr>
                <w:color w:val="FF0000"/>
              </w:rPr>
              <w:t xml:space="preserve"> </w:t>
            </w:r>
            <w:r w:rsidRPr="00681C2B">
              <w:t>и в</w:t>
            </w:r>
            <w:r w:rsidRPr="00681C2B">
              <w:rPr>
                <w:color w:val="000000"/>
              </w:rPr>
              <w:t>сех связанных с выпуском затрат организации.</w:t>
            </w:r>
          </w:p>
        </w:tc>
        <w:tc>
          <w:tcPr>
            <w:tcW w:w="3591" w:type="dxa"/>
          </w:tcPr>
          <w:p w:rsidR="00C72A6F" w:rsidRPr="00681C2B" w:rsidRDefault="00C72A6F" w:rsidP="004B0D73">
            <w:pPr>
              <w:pStyle w:val="a6"/>
              <w:spacing w:before="120" w:after="120"/>
              <w:ind w:left="0"/>
              <w:jc w:val="both"/>
            </w:pPr>
          </w:p>
        </w:tc>
        <w:tc>
          <w:tcPr>
            <w:tcW w:w="3691" w:type="dxa"/>
          </w:tcPr>
          <w:p w:rsidR="00C72A6F" w:rsidRPr="00C72A6F" w:rsidRDefault="005A266C" w:rsidP="005A266C">
            <w:pPr>
              <w:pStyle w:val="a6"/>
              <w:spacing w:before="120" w:after="120"/>
              <w:ind w:left="0"/>
              <w:rPr>
                <w:rFonts w:ascii="Arial Narrow" w:hAnsi="Arial Narrow"/>
                <w:color w:val="0070C0"/>
              </w:rPr>
            </w:pPr>
            <w:r>
              <w:rPr>
                <w:rFonts w:ascii="Arial Narrow" w:hAnsi="Arial Narrow"/>
                <w:color w:val="0070C0"/>
              </w:rPr>
              <w:t>Учтено путем уточнения редакции с использованием понятия «приведенная стоимость» и с учетом его определения в пункте 7.</w:t>
            </w:r>
          </w:p>
          <w:p w:rsidR="00C72A6F" w:rsidRPr="00C72A6F" w:rsidRDefault="00C72A6F" w:rsidP="005A266C">
            <w:pPr>
              <w:pStyle w:val="a6"/>
              <w:spacing w:before="120" w:after="120"/>
              <w:ind w:left="0"/>
              <w:rPr>
                <w:rFonts w:ascii="Arial Narrow" w:hAnsi="Arial Narrow"/>
                <w:color w:val="0070C0"/>
              </w:rPr>
            </w:pP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lastRenderedPageBreak/>
              <w:t>9</w:t>
            </w:r>
          </w:p>
        </w:tc>
        <w:tc>
          <w:tcPr>
            <w:tcW w:w="3590" w:type="dxa"/>
          </w:tcPr>
          <w:p w:rsidR="00C72A6F" w:rsidRPr="00681C2B" w:rsidRDefault="00C72A6F" w:rsidP="00C317AF">
            <w:pPr>
              <w:jc w:val="both"/>
              <w:rPr>
                <w:color w:val="000000"/>
              </w:rPr>
            </w:pPr>
            <w:r w:rsidRPr="00681C2B">
              <w:rPr>
                <w:color w:val="000000"/>
              </w:rPr>
              <w:t>Редакция проекта ФСБУ «ДКЗ» от 29.08.2017, п.22</w:t>
            </w:r>
          </w:p>
          <w:p w:rsidR="00C72A6F" w:rsidRPr="00681C2B" w:rsidRDefault="00C72A6F" w:rsidP="004B0D73">
            <w:pPr>
              <w:jc w:val="both"/>
              <w:rPr>
                <w:color w:val="000000"/>
              </w:rPr>
            </w:pPr>
            <w:r w:rsidRPr="00681C2B">
              <w:rPr>
                <w:color w:val="000000"/>
              </w:rPr>
              <w:t>Долговой инструмент признается по номинальной стоимости в любом из следующих случаев:</w:t>
            </w:r>
            <w:r w:rsidRPr="00681C2B">
              <w:rPr>
                <w:color w:val="000000"/>
              </w:rPr>
              <w:br/>
            </w:r>
            <w:proofErr w:type="gramStart"/>
            <w:r w:rsidRPr="00681C2B">
              <w:rPr>
                <w:color w:val="000000"/>
              </w:rPr>
              <w:t xml:space="preserve">а) </w:t>
            </w:r>
            <w:proofErr w:type="gramEnd"/>
            <w:r w:rsidRPr="00681C2B">
              <w:rPr>
                <w:color w:val="000000"/>
              </w:rPr>
              <w:t>погашение долгового инструмента предусмотрено в течение периода, не превышающего один год или установленный организацией меньший срок;</w:t>
            </w:r>
            <w:r w:rsidRPr="00681C2B">
              <w:rPr>
                <w:color w:val="000000"/>
              </w:rPr>
              <w:br/>
            </w:r>
            <w:r w:rsidRPr="00681C2B">
              <w:rPr>
                <w:color w:val="000000"/>
                <w:u w:val="single"/>
              </w:rPr>
              <w:t>б) фактическая стоимость долгового инструмента превышает его номинальную стоимость.</w:t>
            </w:r>
          </w:p>
        </w:tc>
        <w:tc>
          <w:tcPr>
            <w:tcW w:w="4553" w:type="dxa"/>
          </w:tcPr>
          <w:p w:rsidR="00C72A6F" w:rsidRPr="00681C2B" w:rsidRDefault="00C72A6F" w:rsidP="00C317AF">
            <w:pPr>
              <w:jc w:val="both"/>
              <w:rPr>
                <w:color w:val="000000"/>
              </w:rPr>
            </w:pPr>
            <w:r w:rsidRPr="00681C2B">
              <w:rPr>
                <w:color w:val="000000"/>
              </w:rPr>
              <w:t>Редакция проекта ФСБУ «ДКЗ» от 29.08.2017, п.22</w:t>
            </w:r>
          </w:p>
          <w:p w:rsidR="00C72A6F" w:rsidRPr="00681C2B" w:rsidRDefault="00C72A6F" w:rsidP="004B0D73">
            <w:pPr>
              <w:jc w:val="both"/>
              <w:rPr>
                <w:color w:val="000000"/>
              </w:rPr>
            </w:pPr>
            <w:r w:rsidRPr="00681C2B">
              <w:rPr>
                <w:color w:val="000000"/>
              </w:rPr>
              <w:t>Долговой инструмент признается по номинальной стоимости в любом из следующих случаев:</w:t>
            </w:r>
            <w:r w:rsidRPr="00681C2B">
              <w:rPr>
                <w:color w:val="000000"/>
              </w:rPr>
              <w:br/>
            </w:r>
            <w:proofErr w:type="gramStart"/>
            <w:r w:rsidRPr="00681C2B">
              <w:rPr>
                <w:color w:val="000000"/>
              </w:rPr>
              <w:t xml:space="preserve">а) </w:t>
            </w:r>
            <w:proofErr w:type="gramEnd"/>
            <w:r w:rsidRPr="00681C2B">
              <w:rPr>
                <w:color w:val="000000"/>
              </w:rPr>
              <w:t>погашение долгового инструмента предусмотрено в течение периода, не превышающего один год или установленный организацией меньший срок;</w:t>
            </w:r>
          </w:p>
          <w:p w:rsidR="00C72A6F" w:rsidRPr="00681C2B" w:rsidRDefault="00C72A6F" w:rsidP="004B0D73">
            <w:pPr>
              <w:pStyle w:val="a6"/>
              <w:ind w:left="0"/>
              <w:jc w:val="both"/>
            </w:pPr>
          </w:p>
        </w:tc>
        <w:tc>
          <w:tcPr>
            <w:tcW w:w="3591" w:type="dxa"/>
          </w:tcPr>
          <w:p w:rsidR="00C72A6F" w:rsidRPr="00681C2B" w:rsidRDefault="00C72A6F" w:rsidP="004B0D73">
            <w:pPr>
              <w:jc w:val="both"/>
              <w:rPr>
                <w:color w:val="000000"/>
              </w:rPr>
            </w:pPr>
            <w:r w:rsidRPr="00681C2B">
              <w:rPr>
                <w:color w:val="000000"/>
              </w:rPr>
              <w:t>Можем привести пример случая в п.б? Кажется, этот пункт исключает п. 19</w:t>
            </w:r>
          </w:p>
          <w:p w:rsidR="00C72A6F" w:rsidRPr="00681C2B" w:rsidRDefault="00C72A6F" w:rsidP="004B0D73">
            <w:pPr>
              <w:pStyle w:val="a6"/>
              <w:spacing w:before="120" w:after="120"/>
              <w:ind w:left="0"/>
              <w:jc w:val="both"/>
            </w:pPr>
          </w:p>
        </w:tc>
        <w:tc>
          <w:tcPr>
            <w:tcW w:w="3691" w:type="dxa"/>
          </w:tcPr>
          <w:p w:rsidR="00C72A6F" w:rsidRPr="00C72A6F" w:rsidRDefault="00C72A6F" w:rsidP="005A266C">
            <w:pPr>
              <w:rPr>
                <w:rFonts w:ascii="Arial Narrow" w:hAnsi="Arial Narrow"/>
                <w:color w:val="0070C0"/>
              </w:rPr>
            </w:pPr>
            <w:r w:rsidRPr="00C72A6F">
              <w:rPr>
                <w:rFonts w:ascii="Arial Narrow" w:hAnsi="Arial Narrow"/>
                <w:color w:val="0070C0"/>
              </w:rPr>
              <w:t xml:space="preserve">Учтено в </w:t>
            </w:r>
            <w:r w:rsidR="005A266C">
              <w:rPr>
                <w:rFonts w:ascii="Arial Narrow" w:hAnsi="Arial Narrow"/>
                <w:color w:val="0070C0"/>
              </w:rPr>
              <w:t xml:space="preserve">новой редакции </w:t>
            </w:r>
            <w:r w:rsidRPr="00C72A6F">
              <w:rPr>
                <w:rFonts w:ascii="Arial Narrow" w:hAnsi="Arial Narrow"/>
                <w:color w:val="0070C0"/>
              </w:rPr>
              <w:t>пункт</w:t>
            </w:r>
            <w:r w:rsidR="005A266C">
              <w:rPr>
                <w:rFonts w:ascii="Arial Narrow" w:hAnsi="Arial Narrow"/>
                <w:color w:val="0070C0"/>
              </w:rPr>
              <w:t>ов</w:t>
            </w:r>
            <w:r w:rsidRPr="00C72A6F">
              <w:rPr>
                <w:rFonts w:ascii="Arial Narrow" w:hAnsi="Arial Narrow"/>
                <w:color w:val="0070C0"/>
              </w:rPr>
              <w:t xml:space="preserve"> 22 </w:t>
            </w:r>
            <w:r w:rsidR="005A266C">
              <w:rPr>
                <w:rFonts w:ascii="Arial Narrow" w:hAnsi="Arial Narrow"/>
                <w:color w:val="0070C0"/>
              </w:rPr>
              <w:t>и 23.</w:t>
            </w:r>
          </w:p>
          <w:p w:rsidR="00C72A6F" w:rsidRPr="00C72A6F" w:rsidRDefault="00C72A6F" w:rsidP="005A266C">
            <w:pPr>
              <w:rPr>
                <w:rFonts w:ascii="Arial Narrow" w:hAnsi="Arial Narrow"/>
                <w:color w:val="0070C0"/>
              </w:rPr>
            </w:pP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t>10</w:t>
            </w:r>
          </w:p>
        </w:tc>
        <w:tc>
          <w:tcPr>
            <w:tcW w:w="3590" w:type="dxa"/>
          </w:tcPr>
          <w:p w:rsidR="00C72A6F" w:rsidRPr="00681C2B" w:rsidRDefault="00C72A6F" w:rsidP="004B0D73">
            <w:pPr>
              <w:jc w:val="both"/>
              <w:rPr>
                <w:color w:val="000000"/>
              </w:rPr>
            </w:pPr>
            <w:r w:rsidRPr="00681C2B">
              <w:rPr>
                <w:color w:val="000000"/>
              </w:rPr>
              <w:t>Редакция проекта ФСБУ «ДКЗ» от 29.08.2017, п.23</w:t>
            </w:r>
          </w:p>
          <w:p w:rsidR="00C72A6F" w:rsidRPr="00681C2B" w:rsidRDefault="00C72A6F" w:rsidP="004B0D73">
            <w:pPr>
              <w:jc w:val="both"/>
              <w:rPr>
                <w:color w:val="000000"/>
              </w:rPr>
            </w:pPr>
            <w:r w:rsidRPr="00681C2B">
              <w:rPr>
                <w:color w:val="000000"/>
              </w:rPr>
              <w:t>Долговой инструмент, не признаваемый по номинальной стоимости в соответствии с пунктом 22 настоящего Стандарта, признается по приведенной стоимости в любом из следующих случаев:</w:t>
            </w:r>
            <w:r w:rsidRPr="00681C2B">
              <w:rPr>
                <w:color w:val="000000"/>
              </w:rPr>
              <w:br/>
              <w:t>а) фактическая стоимость долгового инструмента не может быть определена в соответствии с пунктами 14 – 21 настоящего Стандарта;</w:t>
            </w:r>
            <w:r w:rsidRPr="00681C2B">
              <w:rPr>
                <w:color w:val="000000"/>
              </w:rPr>
              <w:br/>
              <w:t xml:space="preserve">б) обстоятельства заключения сделки, исходя из условий которой определяется </w:t>
            </w:r>
            <w:r w:rsidRPr="00681C2B">
              <w:rPr>
                <w:color w:val="000000"/>
              </w:rPr>
              <w:lastRenderedPageBreak/>
              <w:t>фактическая стоимость, свидетельствуют о ее заключении на нерыночных условиях (например, между взаимозависимыми лицами).</w:t>
            </w:r>
          </w:p>
        </w:tc>
        <w:tc>
          <w:tcPr>
            <w:tcW w:w="4553" w:type="dxa"/>
          </w:tcPr>
          <w:p w:rsidR="00C72A6F" w:rsidRPr="00681C2B" w:rsidRDefault="00C72A6F" w:rsidP="004B0D73">
            <w:pPr>
              <w:pStyle w:val="a6"/>
              <w:ind w:left="0"/>
              <w:jc w:val="both"/>
            </w:pPr>
          </w:p>
        </w:tc>
        <w:tc>
          <w:tcPr>
            <w:tcW w:w="3591" w:type="dxa"/>
          </w:tcPr>
          <w:p w:rsidR="00C72A6F" w:rsidRPr="00681C2B" w:rsidRDefault="00C72A6F" w:rsidP="00AE4A0D">
            <w:pPr>
              <w:jc w:val="both"/>
            </w:pPr>
            <w:r w:rsidRPr="00681C2B">
              <w:rPr>
                <w:color w:val="000000"/>
              </w:rPr>
              <w:t>Не предусмотрено случая с инструментами с низкой процентной ставкой или без процентов, реализуемой на рыночных условиях. Например, облигация с низкой процентной ставкой, выпущенная с дисконтом. Как она должна учитываться?</w:t>
            </w:r>
          </w:p>
        </w:tc>
        <w:tc>
          <w:tcPr>
            <w:tcW w:w="3691" w:type="dxa"/>
          </w:tcPr>
          <w:p w:rsidR="00AE4A0D" w:rsidRPr="00C72A6F" w:rsidRDefault="00C72A6F" w:rsidP="00AE4A0D">
            <w:pPr>
              <w:rPr>
                <w:rFonts w:ascii="Arial Narrow" w:hAnsi="Arial Narrow"/>
                <w:color w:val="0070C0"/>
              </w:rPr>
            </w:pPr>
            <w:r w:rsidRPr="00C72A6F">
              <w:rPr>
                <w:rFonts w:ascii="Arial Narrow" w:hAnsi="Arial Narrow"/>
                <w:color w:val="0070C0"/>
              </w:rPr>
              <w:t xml:space="preserve">Учтено в </w:t>
            </w:r>
            <w:r w:rsidR="005A266C">
              <w:rPr>
                <w:rFonts w:ascii="Arial Narrow" w:hAnsi="Arial Narrow"/>
                <w:color w:val="0070C0"/>
              </w:rPr>
              <w:t xml:space="preserve">новой редакции </w:t>
            </w:r>
            <w:r w:rsidRPr="00C72A6F">
              <w:rPr>
                <w:rFonts w:ascii="Arial Narrow" w:hAnsi="Arial Narrow"/>
                <w:color w:val="0070C0"/>
              </w:rPr>
              <w:t>пункт</w:t>
            </w:r>
            <w:r w:rsidR="000345B8">
              <w:rPr>
                <w:rFonts w:ascii="Arial Narrow" w:hAnsi="Arial Narrow"/>
                <w:color w:val="0070C0"/>
              </w:rPr>
              <w:t>ов</w:t>
            </w:r>
            <w:r w:rsidRPr="00C72A6F">
              <w:rPr>
                <w:rFonts w:ascii="Arial Narrow" w:hAnsi="Arial Narrow"/>
                <w:color w:val="0070C0"/>
              </w:rPr>
              <w:t xml:space="preserve"> </w:t>
            </w:r>
            <w:r w:rsidR="00AE4A0D">
              <w:rPr>
                <w:rFonts w:ascii="Arial Narrow" w:hAnsi="Arial Narrow"/>
                <w:color w:val="0070C0"/>
              </w:rPr>
              <w:t xml:space="preserve">16 и </w:t>
            </w:r>
            <w:r w:rsidRPr="00C72A6F">
              <w:rPr>
                <w:rFonts w:ascii="Arial Narrow" w:hAnsi="Arial Narrow"/>
                <w:color w:val="0070C0"/>
              </w:rPr>
              <w:t>26</w:t>
            </w:r>
            <w:r w:rsidR="00AE4A0D">
              <w:rPr>
                <w:rFonts w:ascii="Arial Narrow" w:hAnsi="Arial Narrow"/>
                <w:color w:val="0070C0"/>
              </w:rPr>
              <w:t>.</w:t>
            </w:r>
          </w:p>
          <w:p w:rsidR="00C72A6F" w:rsidRPr="00C72A6F" w:rsidRDefault="00C72A6F" w:rsidP="005A266C">
            <w:pPr>
              <w:rPr>
                <w:rFonts w:ascii="Arial Narrow" w:hAnsi="Arial Narrow"/>
                <w:color w:val="0070C0"/>
              </w:rPr>
            </w:pPr>
            <w:r w:rsidRPr="00C72A6F">
              <w:rPr>
                <w:rFonts w:ascii="Arial Narrow" w:hAnsi="Arial Narrow"/>
                <w:color w:val="0070C0"/>
              </w:rPr>
              <w:t>.</w:t>
            </w:r>
          </w:p>
          <w:p w:rsidR="00C72A6F" w:rsidRPr="00C72A6F" w:rsidRDefault="00C72A6F" w:rsidP="005A266C">
            <w:pPr>
              <w:rPr>
                <w:rFonts w:ascii="Arial Narrow" w:hAnsi="Arial Narrow"/>
                <w:color w:val="0070C0"/>
              </w:rPr>
            </w:pP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lastRenderedPageBreak/>
              <w:t>11</w:t>
            </w:r>
          </w:p>
        </w:tc>
        <w:tc>
          <w:tcPr>
            <w:tcW w:w="3590" w:type="dxa"/>
          </w:tcPr>
          <w:p w:rsidR="00C72A6F" w:rsidRPr="00681C2B" w:rsidRDefault="00C72A6F" w:rsidP="00453D96">
            <w:pPr>
              <w:jc w:val="both"/>
              <w:rPr>
                <w:color w:val="000000"/>
              </w:rPr>
            </w:pPr>
            <w:r w:rsidRPr="00681C2B">
              <w:rPr>
                <w:color w:val="000000"/>
              </w:rPr>
              <w:t>Редакция проекта ФСБУ «ДКЗ» от 29.08.2017, п.25</w:t>
            </w:r>
          </w:p>
          <w:p w:rsidR="00C72A6F" w:rsidRPr="00681C2B" w:rsidRDefault="00C72A6F" w:rsidP="004B0D73">
            <w:pPr>
              <w:jc w:val="both"/>
              <w:rPr>
                <w:color w:val="000000"/>
              </w:rPr>
            </w:pPr>
            <w:r w:rsidRPr="00681C2B">
              <w:rPr>
                <w:color w:val="000000"/>
              </w:rPr>
              <w:t>В исключительных случаях, когда на основе доступной информации при признании долгового инструмента по приведенной стоимости ставка дисконтирования не может быть определена в соответствии с пунктом 24 настоящего Стандарта, она может приниматься равной 1,5 ключевой ставки Банка России.</w:t>
            </w:r>
          </w:p>
        </w:tc>
        <w:tc>
          <w:tcPr>
            <w:tcW w:w="4553" w:type="dxa"/>
          </w:tcPr>
          <w:p w:rsidR="00C72A6F" w:rsidRPr="00681C2B" w:rsidRDefault="00C72A6F" w:rsidP="004B0D73">
            <w:pPr>
              <w:pStyle w:val="a6"/>
              <w:ind w:left="0"/>
              <w:jc w:val="both"/>
            </w:pPr>
          </w:p>
        </w:tc>
        <w:tc>
          <w:tcPr>
            <w:tcW w:w="3591" w:type="dxa"/>
          </w:tcPr>
          <w:p w:rsidR="00C72A6F" w:rsidRPr="00681C2B" w:rsidRDefault="00C72A6F" w:rsidP="004B0D73">
            <w:pPr>
              <w:jc w:val="both"/>
              <w:rPr>
                <w:color w:val="000000"/>
              </w:rPr>
            </w:pPr>
            <w:r w:rsidRPr="00681C2B">
              <w:rPr>
                <w:color w:val="000000"/>
              </w:rPr>
              <w:t>Если заимствования на международном рынке, это может быть слишком большой ставкой</w:t>
            </w:r>
          </w:p>
          <w:p w:rsidR="00C72A6F" w:rsidRPr="00681C2B" w:rsidRDefault="00C72A6F" w:rsidP="004B0D73">
            <w:pPr>
              <w:jc w:val="both"/>
              <w:rPr>
                <w:color w:val="000000"/>
              </w:rPr>
            </w:pPr>
          </w:p>
        </w:tc>
        <w:tc>
          <w:tcPr>
            <w:tcW w:w="3691" w:type="dxa"/>
          </w:tcPr>
          <w:p w:rsidR="00C72A6F" w:rsidRPr="00C72A6F" w:rsidRDefault="00D448C0" w:rsidP="005A266C">
            <w:pPr>
              <w:rPr>
                <w:rFonts w:ascii="Arial Narrow" w:hAnsi="Arial Narrow"/>
                <w:color w:val="0070C0"/>
              </w:rPr>
            </w:pPr>
            <w:r>
              <w:rPr>
                <w:rFonts w:ascii="Arial Narrow" w:hAnsi="Arial Narrow"/>
                <w:color w:val="0070C0"/>
              </w:rPr>
              <w:t>Учтено</w:t>
            </w:r>
          </w:p>
          <w:p w:rsidR="00C72A6F" w:rsidRPr="00C72A6F" w:rsidRDefault="00D448C0" w:rsidP="00D448C0">
            <w:pPr>
              <w:rPr>
                <w:rFonts w:ascii="Arial Narrow" w:hAnsi="Arial Narrow"/>
                <w:color w:val="0070C0"/>
              </w:rPr>
            </w:pPr>
            <w:r>
              <w:rPr>
                <w:rFonts w:ascii="Arial Narrow" w:hAnsi="Arial Narrow"/>
                <w:color w:val="0070C0"/>
              </w:rPr>
              <w:t>П</w:t>
            </w:r>
            <w:r w:rsidR="00C72A6F" w:rsidRPr="00C72A6F">
              <w:rPr>
                <w:rFonts w:ascii="Arial Narrow" w:hAnsi="Arial Narrow"/>
                <w:color w:val="0070C0"/>
              </w:rPr>
              <w:t>ункт удал</w:t>
            </w:r>
            <w:r>
              <w:rPr>
                <w:rFonts w:ascii="Arial Narrow" w:hAnsi="Arial Narrow"/>
                <w:color w:val="0070C0"/>
              </w:rPr>
              <w:t>ен</w:t>
            </w:r>
            <w:r w:rsidR="00C72A6F" w:rsidRPr="00C72A6F">
              <w:rPr>
                <w:rFonts w:ascii="Arial Narrow" w:hAnsi="Arial Narrow"/>
                <w:color w:val="0070C0"/>
              </w:rPr>
              <w:t>.</w:t>
            </w: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t>12</w:t>
            </w:r>
          </w:p>
        </w:tc>
        <w:tc>
          <w:tcPr>
            <w:tcW w:w="3590" w:type="dxa"/>
          </w:tcPr>
          <w:p w:rsidR="00C72A6F" w:rsidRPr="00681C2B" w:rsidRDefault="00C72A6F" w:rsidP="00BA6699">
            <w:pPr>
              <w:jc w:val="both"/>
              <w:rPr>
                <w:color w:val="000000"/>
              </w:rPr>
            </w:pPr>
            <w:r w:rsidRPr="00681C2B">
              <w:rPr>
                <w:color w:val="000000"/>
              </w:rPr>
              <w:t>Редакция проекта ФСБУ «ДКЗ» от 29.08.2017, п.29</w:t>
            </w:r>
          </w:p>
          <w:p w:rsidR="00C72A6F" w:rsidRPr="00681C2B" w:rsidRDefault="00C72A6F" w:rsidP="004B0D73">
            <w:pPr>
              <w:jc w:val="both"/>
              <w:rPr>
                <w:color w:val="000000"/>
              </w:rPr>
            </w:pPr>
            <w:r w:rsidRPr="00681C2B">
              <w:rPr>
                <w:color w:val="000000"/>
              </w:rPr>
              <w:t>Долговые обязательства, за исключением признанных по номинальной стоимости, оцениваются на каждую отчетную дату по приведенной стоимости.</w:t>
            </w:r>
            <w:r w:rsidRPr="00681C2B">
              <w:rPr>
                <w:color w:val="000000"/>
              </w:rPr>
              <w:br/>
              <w:t>Долговые обязательства, признанные по номинальной стоимости, оцениваются на каждую отчетную дату по номинальной стоимости.</w:t>
            </w:r>
          </w:p>
        </w:tc>
        <w:tc>
          <w:tcPr>
            <w:tcW w:w="4553" w:type="dxa"/>
          </w:tcPr>
          <w:p w:rsidR="00C72A6F" w:rsidRPr="00681C2B" w:rsidRDefault="00C72A6F" w:rsidP="004B0D73">
            <w:pPr>
              <w:pStyle w:val="a6"/>
              <w:ind w:left="0"/>
              <w:jc w:val="both"/>
            </w:pPr>
          </w:p>
        </w:tc>
        <w:tc>
          <w:tcPr>
            <w:tcW w:w="3591" w:type="dxa"/>
          </w:tcPr>
          <w:p w:rsidR="00C72A6F" w:rsidRPr="00681C2B" w:rsidRDefault="00C72A6F" w:rsidP="004B0D73">
            <w:pPr>
              <w:jc w:val="both"/>
              <w:rPr>
                <w:color w:val="000000"/>
              </w:rPr>
            </w:pPr>
            <w:r w:rsidRPr="00681C2B">
              <w:rPr>
                <w:color w:val="000000"/>
              </w:rPr>
              <w:t>1. как этот пункт коррелирует с п. 26?</w:t>
            </w:r>
            <w:r w:rsidRPr="00681C2B">
              <w:rPr>
                <w:color w:val="000000"/>
              </w:rPr>
              <w:br/>
              <w:t>2.  комментарий аналогично п. 3 выше (про краткосрочный заем)</w:t>
            </w:r>
          </w:p>
          <w:p w:rsidR="00C72A6F" w:rsidRPr="00681C2B" w:rsidRDefault="00C72A6F" w:rsidP="004B0D73">
            <w:pPr>
              <w:jc w:val="both"/>
              <w:rPr>
                <w:color w:val="000000"/>
              </w:rPr>
            </w:pPr>
          </w:p>
        </w:tc>
        <w:tc>
          <w:tcPr>
            <w:tcW w:w="3691" w:type="dxa"/>
          </w:tcPr>
          <w:p w:rsidR="00C72A6F" w:rsidRDefault="00C72A6F" w:rsidP="005A266C">
            <w:pPr>
              <w:rPr>
                <w:rFonts w:ascii="Arial Narrow" w:hAnsi="Arial Narrow"/>
                <w:color w:val="0070C0"/>
              </w:rPr>
            </w:pPr>
            <w:r w:rsidRPr="00C72A6F">
              <w:rPr>
                <w:rFonts w:ascii="Arial Narrow" w:hAnsi="Arial Narrow"/>
                <w:color w:val="0070C0"/>
              </w:rPr>
              <w:t>Учтено</w:t>
            </w:r>
            <w:r w:rsidR="00D448C0">
              <w:rPr>
                <w:rFonts w:ascii="Arial Narrow" w:hAnsi="Arial Narrow"/>
                <w:color w:val="0070C0"/>
              </w:rPr>
              <w:t>.</w:t>
            </w:r>
          </w:p>
          <w:p w:rsidR="00D448C0" w:rsidRPr="00C72A6F" w:rsidRDefault="00D448C0" w:rsidP="005A266C">
            <w:pPr>
              <w:rPr>
                <w:rFonts w:ascii="Arial Narrow" w:hAnsi="Arial Narrow"/>
                <w:color w:val="0070C0"/>
              </w:rPr>
            </w:pPr>
            <w:r>
              <w:rPr>
                <w:rFonts w:ascii="Arial Narrow" w:hAnsi="Arial Narrow"/>
                <w:color w:val="0070C0"/>
              </w:rPr>
              <w:t>В пункт 25 добавлено исключение в скобках.</w:t>
            </w:r>
          </w:p>
          <w:p w:rsidR="00C72A6F" w:rsidRPr="00C72A6F" w:rsidRDefault="00C72A6F" w:rsidP="005A266C">
            <w:pPr>
              <w:rPr>
                <w:rFonts w:ascii="Arial Narrow" w:hAnsi="Arial Narrow"/>
                <w:color w:val="0070C0"/>
              </w:rPr>
            </w:pPr>
          </w:p>
        </w:tc>
      </w:tr>
      <w:tr w:rsidR="00C72A6F" w:rsidRPr="00681C2B" w:rsidTr="005A266C">
        <w:trPr>
          <w:trHeight w:val="852"/>
          <w:jc w:val="center"/>
        </w:trPr>
        <w:tc>
          <w:tcPr>
            <w:tcW w:w="613" w:type="dxa"/>
          </w:tcPr>
          <w:p w:rsidR="00C72A6F" w:rsidRPr="00681C2B" w:rsidRDefault="00C72A6F" w:rsidP="00D00225">
            <w:pPr>
              <w:pStyle w:val="a6"/>
              <w:spacing w:before="120" w:after="120"/>
              <w:ind w:left="0"/>
              <w:jc w:val="center"/>
            </w:pPr>
            <w:r w:rsidRPr="00681C2B">
              <w:t>13</w:t>
            </w:r>
          </w:p>
        </w:tc>
        <w:tc>
          <w:tcPr>
            <w:tcW w:w="3590" w:type="dxa"/>
          </w:tcPr>
          <w:p w:rsidR="00C72A6F" w:rsidRPr="00681C2B" w:rsidRDefault="00C72A6F" w:rsidP="00BA6699">
            <w:pPr>
              <w:jc w:val="both"/>
              <w:rPr>
                <w:color w:val="000000"/>
              </w:rPr>
            </w:pPr>
            <w:r w:rsidRPr="00681C2B">
              <w:rPr>
                <w:color w:val="000000"/>
              </w:rPr>
              <w:t>Редакция проекта ФСБУ «ДКЗ» от 29.08.2017, п.32</w:t>
            </w:r>
          </w:p>
          <w:p w:rsidR="00C72A6F" w:rsidRPr="00681C2B" w:rsidRDefault="00C72A6F" w:rsidP="004B0D73">
            <w:pPr>
              <w:jc w:val="both"/>
              <w:rPr>
                <w:color w:val="000000"/>
              </w:rPr>
            </w:pPr>
            <w:r w:rsidRPr="00681C2B">
              <w:rPr>
                <w:color w:val="000000"/>
              </w:rPr>
              <w:t>Прекращение признания долгового актива или его части наступает в случае:</w:t>
            </w:r>
            <w:r w:rsidRPr="00681C2B">
              <w:rPr>
                <w:color w:val="000000"/>
              </w:rPr>
              <w:br/>
            </w:r>
            <w:r w:rsidRPr="00681C2B">
              <w:rPr>
                <w:color w:val="000000"/>
              </w:rPr>
              <w:lastRenderedPageBreak/>
              <w:t>а) истечения срока реализации прав,</w:t>
            </w:r>
            <w:r w:rsidRPr="00681C2B">
              <w:rPr>
                <w:color w:val="000000"/>
              </w:rPr>
              <w:br/>
              <w:t>б) передачи договорных прав на получение денежных средств от долгового актива,</w:t>
            </w:r>
            <w:r w:rsidRPr="00681C2B">
              <w:rPr>
                <w:color w:val="000000"/>
              </w:rPr>
              <w:br/>
              <w:t>в) сохранения договорных прав на получение денежных средств от долгового актива, но принятия договорного обязательства выплатить эти денежные средства третьей стороне.</w:t>
            </w:r>
          </w:p>
        </w:tc>
        <w:tc>
          <w:tcPr>
            <w:tcW w:w="4553" w:type="dxa"/>
          </w:tcPr>
          <w:p w:rsidR="00C72A6F" w:rsidRPr="00681C2B" w:rsidRDefault="00C72A6F" w:rsidP="00BA6699">
            <w:pPr>
              <w:jc w:val="both"/>
              <w:rPr>
                <w:color w:val="000000"/>
              </w:rPr>
            </w:pPr>
            <w:r w:rsidRPr="00681C2B">
              <w:rPr>
                <w:color w:val="000000"/>
              </w:rPr>
              <w:lastRenderedPageBreak/>
              <w:t>Редакция проекта ФСБУ «ДКЗ» от 29.08.2017, п.32</w:t>
            </w:r>
          </w:p>
          <w:p w:rsidR="00C72A6F" w:rsidRPr="00681C2B" w:rsidRDefault="00C72A6F" w:rsidP="004B0D73">
            <w:pPr>
              <w:jc w:val="both"/>
              <w:rPr>
                <w:color w:val="000000"/>
              </w:rPr>
            </w:pPr>
            <w:r w:rsidRPr="00681C2B">
              <w:rPr>
                <w:color w:val="000000"/>
              </w:rPr>
              <w:t>Прекращение признания долгового актива или его части наступает в случае:</w:t>
            </w:r>
            <w:r w:rsidRPr="00681C2B">
              <w:rPr>
                <w:color w:val="000000"/>
              </w:rPr>
              <w:br/>
              <w:t>а) истечения срока реализации прав,</w:t>
            </w:r>
            <w:r w:rsidRPr="00681C2B">
              <w:rPr>
                <w:color w:val="000000"/>
              </w:rPr>
              <w:br/>
            </w:r>
            <w:r w:rsidRPr="00681C2B">
              <w:rPr>
                <w:color w:val="000000"/>
              </w:rPr>
              <w:lastRenderedPageBreak/>
              <w:t>б) передачи договорных прав на получение денежных средств от долгового актива,</w:t>
            </w:r>
            <w:r w:rsidRPr="00681C2B">
              <w:rPr>
                <w:color w:val="000000"/>
              </w:rPr>
              <w:br/>
              <w:t xml:space="preserve">в) сохранения договорных прав на получение денежных средств от долгового актива, но принятия договорного обязательства выплатить эти денежные средства третьей стороне. </w:t>
            </w:r>
            <w:r w:rsidRPr="00681C2B">
              <w:rPr>
                <w:color w:val="000000"/>
              </w:rPr>
              <w:br/>
            </w:r>
            <w:r w:rsidRPr="00681C2B">
              <w:rPr>
                <w:b/>
              </w:rPr>
              <w:t>г) погашения актива.</w:t>
            </w:r>
            <w:r w:rsidRPr="00681C2B">
              <w:t xml:space="preserve">                                                          </w:t>
            </w:r>
            <w:r w:rsidRPr="00681C2B">
              <w:rPr>
                <w:color w:val="000000"/>
              </w:rPr>
              <w:br/>
            </w:r>
          </w:p>
          <w:p w:rsidR="00C72A6F" w:rsidRPr="00681C2B" w:rsidRDefault="00C72A6F" w:rsidP="00BA6699">
            <w:pPr>
              <w:jc w:val="both"/>
              <w:rPr>
                <w:color w:val="000000"/>
              </w:rPr>
            </w:pPr>
            <w:r w:rsidRPr="00681C2B">
              <w:rPr>
                <w:color w:val="000000"/>
              </w:rPr>
              <w:t>Редакция проекта ФСБУ «ДКЗ» от 29.08.2017, п.32.1</w:t>
            </w:r>
          </w:p>
          <w:p w:rsidR="00C72A6F" w:rsidRPr="00681C2B" w:rsidRDefault="00C72A6F" w:rsidP="004B0D73">
            <w:pPr>
              <w:jc w:val="both"/>
              <w:rPr>
                <w:color w:val="000000"/>
              </w:rPr>
            </w:pPr>
            <w:r w:rsidRPr="00681C2B">
              <w:t>Если предприятие сохраняет договорные права на получение потоков денежных средств от долгового актива ("первоначального актива"), но принимает на себя договорное обязательство выплатить эти денежные средства одному или более предприятиям («конечным получателям»), это предприятие рассматривает данную операцию как передачу долгового актива только тогда, когда выполняются все три следующие условия.</w:t>
            </w:r>
            <w:r w:rsidRPr="00681C2B">
              <w:br/>
              <w:t>(а) Предприятие не имеет обязательства выплатить суммы конечным получателям, если оно не получит эквивалентные суммы по первоначальному активу. Выдача предприятием краткосрочных авансов с правом полного возмещения выданной суммы плюс начисленные проценты по рыночной ставке, не нарушает это условие.</w:t>
            </w:r>
            <w:r w:rsidRPr="00681C2B">
              <w:br/>
              <w:t xml:space="preserve">(b) Условиями договора по передаче денежных средств предприятию </w:t>
            </w:r>
            <w:r w:rsidRPr="00681C2B">
              <w:lastRenderedPageBreak/>
              <w:t>запрещается продавать или отдавать в залог первоначальный актив, за исключением передачи его конечным получателям в качестве обеспечения обязательства выплатить им денежные средства.</w:t>
            </w:r>
            <w:r w:rsidRPr="00681C2B">
              <w:br/>
              <w:t>(c) У предприятия есть обязательство перечислять денежные средства, собираемые от имени конечных получателей, без существенных задержек. Кроме того, у предприятия нет права реинвестировать такие денежные средства, за исключением инвестиций в денежные средства или эквиваленты денежных средств, в течение короткого периода проведения расчетов от даты получения денежных средств до даты требуемого перечисления их конечным получателям, при этом проценты, заработанные от такой инвестиции, передаются конечным получателям.</w:t>
            </w:r>
          </w:p>
        </w:tc>
        <w:tc>
          <w:tcPr>
            <w:tcW w:w="3591" w:type="dxa"/>
          </w:tcPr>
          <w:p w:rsidR="00C72A6F" w:rsidRPr="00681C2B" w:rsidRDefault="00C72A6F" w:rsidP="004B0D73">
            <w:pPr>
              <w:jc w:val="both"/>
              <w:rPr>
                <w:color w:val="000000"/>
              </w:rPr>
            </w:pPr>
            <w:r w:rsidRPr="00681C2B">
              <w:rPr>
                <w:color w:val="000000"/>
              </w:rPr>
              <w:lastRenderedPageBreak/>
              <w:t>Предлаг</w:t>
            </w:r>
            <w:r>
              <w:rPr>
                <w:color w:val="000000"/>
              </w:rPr>
              <w:t>а</w:t>
            </w:r>
            <w:r w:rsidRPr="00681C2B">
              <w:rPr>
                <w:color w:val="000000"/>
              </w:rPr>
              <w:t xml:space="preserve">ем устранить противоречия с МСФО - в ФСБУ не прописано, каким образом должна определяться передача долгового актива, в </w:t>
            </w:r>
            <w:r w:rsidRPr="00681C2B">
              <w:rPr>
                <w:color w:val="000000"/>
              </w:rPr>
              <w:lastRenderedPageBreak/>
              <w:t>случае сохранения договорных прав на получение денежных средств, но принятия договорных обязательств выплатить эти средства. В противном случае на практике могут возникать разницы.</w:t>
            </w:r>
          </w:p>
          <w:p w:rsidR="00C72A6F" w:rsidRPr="00681C2B" w:rsidRDefault="00C72A6F" w:rsidP="004B0D73">
            <w:pPr>
              <w:jc w:val="both"/>
              <w:rPr>
                <w:color w:val="000000"/>
              </w:rPr>
            </w:pPr>
          </w:p>
        </w:tc>
        <w:tc>
          <w:tcPr>
            <w:tcW w:w="3691" w:type="dxa"/>
          </w:tcPr>
          <w:p w:rsidR="00C72A6F" w:rsidRPr="00C72A6F" w:rsidRDefault="00C72A6F" w:rsidP="00D448C0">
            <w:pPr>
              <w:tabs>
                <w:tab w:val="left" w:pos="1134"/>
              </w:tabs>
              <w:suppressAutoHyphens/>
              <w:autoSpaceDE w:val="0"/>
              <w:autoSpaceDN w:val="0"/>
              <w:adjustRightInd w:val="0"/>
              <w:rPr>
                <w:rFonts w:ascii="Arial Narrow" w:hAnsi="Arial Narrow"/>
                <w:color w:val="0070C0"/>
              </w:rPr>
            </w:pPr>
            <w:r w:rsidRPr="00C72A6F">
              <w:rPr>
                <w:rFonts w:ascii="Arial Narrow" w:hAnsi="Arial Narrow"/>
                <w:color w:val="0070C0"/>
              </w:rPr>
              <w:lastRenderedPageBreak/>
              <w:t xml:space="preserve">Учтено </w:t>
            </w:r>
            <w:r w:rsidR="00D448C0">
              <w:rPr>
                <w:rFonts w:ascii="Arial Narrow" w:hAnsi="Arial Narrow"/>
                <w:color w:val="0070C0"/>
              </w:rPr>
              <w:t>путем изложения пункта 3</w:t>
            </w:r>
            <w:r w:rsidR="00425C0F">
              <w:rPr>
                <w:rFonts w:ascii="Arial Narrow" w:hAnsi="Arial Narrow"/>
                <w:color w:val="0070C0"/>
              </w:rPr>
              <w:t>7</w:t>
            </w:r>
            <w:r w:rsidR="00D448C0">
              <w:rPr>
                <w:rFonts w:ascii="Arial Narrow" w:hAnsi="Arial Narrow"/>
                <w:color w:val="0070C0"/>
              </w:rPr>
              <w:t xml:space="preserve"> в новой редакции.</w:t>
            </w:r>
          </w:p>
          <w:p w:rsidR="00C72A6F" w:rsidRPr="00C72A6F" w:rsidRDefault="00C72A6F" w:rsidP="005A266C">
            <w:pPr>
              <w:rPr>
                <w:rFonts w:ascii="Arial Narrow" w:hAnsi="Arial Narrow"/>
                <w:color w:val="0070C0"/>
              </w:rPr>
            </w:pPr>
          </w:p>
        </w:tc>
      </w:tr>
      <w:tr w:rsidR="00B543AA" w:rsidRPr="00681C2B" w:rsidTr="005A266C">
        <w:trPr>
          <w:trHeight w:val="852"/>
          <w:jc w:val="center"/>
        </w:trPr>
        <w:tc>
          <w:tcPr>
            <w:tcW w:w="613" w:type="dxa"/>
          </w:tcPr>
          <w:p w:rsidR="00B543AA" w:rsidRPr="00681C2B" w:rsidRDefault="00B543AA" w:rsidP="00D00225">
            <w:pPr>
              <w:pStyle w:val="a6"/>
              <w:spacing w:before="120" w:after="120"/>
              <w:ind w:left="0"/>
              <w:jc w:val="center"/>
            </w:pPr>
            <w:r w:rsidRPr="00681C2B">
              <w:lastRenderedPageBreak/>
              <w:t>14</w:t>
            </w:r>
          </w:p>
        </w:tc>
        <w:tc>
          <w:tcPr>
            <w:tcW w:w="3590" w:type="dxa"/>
          </w:tcPr>
          <w:p w:rsidR="00B543AA" w:rsidRPr="00681C2B" w:rsidRDefault="00B543AA" w:rsidP="00C317AF">
            <w:pPr>
              <w:jc w:val="both"/>
              <w:rPr>
                <w:color w:val="000000"/>
              </w:rPr>
            </w:pPr>
            <w:r w:rsidRPr="00681C2B">
              <w:rPr>
                <w:color w:val="000000"/>
              </w:rPr>
              <w:t>Редакция проекта ФСБУ «ДКЗ» от 29.08.2017, п.33</w:t>
            </w:r>
          </w:p>
          <w:p w:rsidR="00B543AA" w:rsidRPr="00681C2B" w:rsidRDefault="00B543AA" w:rsidP="004B0D73">
            <w:pPr>
              <w:jc w:val="both"/>
              <w:rPr>
                <w:color w:val="000000"/>
              </w:rPr>
            </w:pPr>
            <w:r w:rsidRPr="00681C2B">
              <w:rPr>
                <w:color w:val="000000"/>
              </w:rPr>
              <w:t xml:space="preserve">При передаче долгового актива, организация должна определить произошла ли передача всех существенных рисков и выгод владения данным активом. При условии передачи всех существенных рисков и выгод владения признание долгового актива прекращается. Если риски и выгоды не были переданы, организация должна оценить передала ли она контроль над данным активом. </w:t>
            </w:r>
            <w:r w:rsidRPr="00681C2B">
              <w:rPr>
                <w:color w:val="000000"/>
              </w:rPr>
              <w:lastRenderedPageBreak/>
              <w:t xml:space="preserve">При условии передачи рисков, выгод и контроля, признание долгового актива прекращается. </w:t>
            </w:r>
            <w:r w:rsidRPr="00681C2B">
              <w:rPr>
                <w:color w:val="000000"/>
              </w:rPr>
              <w:br/>
              <w:t>В случае передачи актива без передачи контроля над ним, такая операция отражается как заем.</w:t>
            </w:r>
          </w:p>
        </w:tc>
        <w:tc>
          <w:tcPr>
            <w:tcW w:w="4553" w:type="dxa"/>
          </w:tcPr>
          <w:p w:rsidR="00B543AA" w:rsidRPr="00681C2B" w:rsidRDefault="00B543AA" w:rsidP="00C317AF">
            <w:pPr>
              <w:jc w:val="both"/>
              <w:rPr>
                <w:color w:val="000000"/>
              </w:rPr>
            </w:pPr>
            <w:r w:rsidRPr="00681C2B">
              <w:rPr>
                <w:color w:val="000000"/>
              </w:rPr>
              <w:lastRenderedPageBreak/>
              <w:t>Редакция проекта ФСБУ «ДКЗ» от 29.08.2017, п.33</w:t>
            </w:r>
          </w:p>
          <w:p w:rsidR="00B543AA" w:rsidRPr="00681C2B" w:rsidRDefault="00B543AA" w:rsidP="00C317AF">
            <w:pPr>
              <w:jc w:val="both"/>
              <w:rPr>
                <w:color w:val="000000"/>
              </w:rPr>
            </w:pPr>
            <w:r w:rsidRPr="00681C2B">
              <w:rPr>
                <w:color w:val="000000"/>
              </w:rPr>
              <w:t xml:space="preserve">При передаче долгового актива, организация должна определить произошла ли передача всех существенных рисков и выгод владения данным активом. При условии передачи всех существенных рисков и выгод владения признание долгового актива прекращается. Если риски и выгоды не были переданы, организация должна оценить передала ли она контроль над данным активом. При условии передачи рисков, выгод и контроля, признание долгового актива прекращается. </w:t>
            </w:r>
            <w:r w:rsidRPr="00681C2B">
              <w:rPr>
                <w:color w:val="000000"/>
              </w:rPr>
              <w:br/>
            </w:r>
            <w:r w:rsidRPr="00681C2B">
              <w:rPr>
                <w:color w:val="000000"/>
              </w:rPr>
              <w:lastRenderedPageBreak/>
              <w:t>В случае передачи актива без передачи контроля над ним, такая операция отражается как заем.</w:t>
            </w:r>
          </w:p>
          <w:p w:rsidR="00B543AA" w:rsidRPr="00681C2B" w:rsidRDefault="00B543AA" w:rsidP="00C317AF">
            <w:pPr>
              <w:jc w:val="both"/>
              <w:rPr>
                <w:color w:val="000000"/>
              </w:rPr>
            </w:pPr>
          </w:p>
          <w:p w:rsidR="00B543AA" w:rsidRPr="00681C2B" w:rsidRDefault="00B543AA" w:rsidP="00C317AF">
            <w:pPr>
              <w:jc w:val="both"/>
              <w:rPr>
                <w:color w:val="000000"/>
              </w:rPr>
            </w:pPr>
            <w:r w:rsidRPr="00681C2B">
              <w:rPr>
                <w:color w:val="000000"/>
              </w:rPr>
              <w:t>Редакция проекта ФСБУ «ДКЗ» от 29.08.2017, п.33.1</w:t>
            </w:r>
          </w:p>
          <w:p w:rsidR="00B543AA" w:rsidRPr="00681C2B" w:rsidRDefault="00B543AA" w:rsidP="004B0D73">
            <w:pPr>
              <w:jc w:val="both"/>
              <w:rPr>
                <w:color w:val="000000"/>
              </w:rPr>
            </w:pPr>
            <w:r w:rsidRPr="00681C2B">
              <w:t xml:space="preserve">Передача рисков и выгод оценивается путем сравнения риска изменения сумм и сроков чистых денежных потоков от переданного актива, которому подвержено предприятие до и после его передачи. Предприятие сохранило практически все риски и выгоды, связанные с владением долговым активом, если риск изменения приведенной стоимости будущих чистых потоков денежных средств от долгового актива, которому подвергается предприятие, существенно не меняется в результате передачи. Предприятие передало практически все риски и вознаграждения, связанные с владением долговым активом, если риск этих изменений более не является значительным по отношению к общим возможным изменениям приведенной стоимости будущих чистых потоков денежных средств, связанных с долговым активом. </w:t>
            </w:r>
            <w:r w:rsidRPr="00681C2B">
              <w:br/>
            </w:r>
            <w:r w:rsidRPr="00681C2B">
              <w:rPr>
                <w:color w:val="FF0000"/>
              </w:rPr>
              <w:t xml:space="preserve"> </w:t>
            </w:r>
            <w:r w:rsidRPr="00681C2B">
              <w:t>33.2 Со</w:t>
            </w:r>
            <w:r>
              <w:t xml:space="preserve">хранение предприятием контроля </w:t>
            </w:r>
            <w:r w:rsidRPr="00681C2B">
              <w:t xml:space="preserve">над переданным активом зависит от возможности принимающей стороны продать актив. Если у принимающей стороны есть практическая возможность продать весь актив несвязанной третьей стороне, и при этом принимающая </w:t>
            </w:r>
            <w:r w:rsidRPr="00681C2B">
              <w:lastRenderedPageBreak/>
              <w:t>сторона может использовать такую возможность в одностороннем порядке, без необходимости налагать дополнительные ограничения на такую передачу, то предприятие не сохранило контроль. Во всех других случаях предприятие сохраняет контроль.</w:t>
            </w:r>
          </w:p>
        </w:tc>
        <w:tc>
          <w:tcPr>
            <w:tcW w:w="3591" w:type="dxa"/>
          </w:tcPr>
          <w:p w:rsidR="00B543AA" w:rsidRPr="00681C2B" w:rsidRDefault="00B543AA" w:rsidP="004B0D73">
            <w:pPr>
              <w:jc w:val="both"/>
              <w:rPr>
                <w:color w:val="000000"/>
              </w:rPr>
            </w:pPr>
            <w:r w:rsidRPr="00681C2B">
              <w:rPr>
                <w:color w:val="000000"/>
              </w:rPr>
              <w:lastRenderedPageBreak/>
              <w:t>Предлагаем устранить противоречия с МСФО - в ФСБУ не прописано, каким образом должна оцениваться передача рисков и выгод и контроля над переданным активом. В противном случае на практике могут возникать разницы.</w:t>
            </w:r>
          </w:p>
          <w:p w:rsidR="00B543AA" w:rsidRPr="00681C2B" w:rsidRDefault="00B543AA" w:rsidP="004B0D73">
            <w:pPr>
              <w:jc w:val="both"/>
              <w:rPr>
                <w:color w:val="000000"/>
              </w:rPr>
            </w:pPr>
          </w:p>
        </w:tc>
        <w:tc>
          <w:tcPr>
            <w:tcW w:w="3691" w:type="dxa"/>
          </w:tcPr>
          <w:p w:rsidR="00B543AA" w:rsidRPr="00C72A6F" w:rsidRDefault="00B543AA" w:rsidP="00796163">
            <w:pPr>
              <w:tabs>
                <w:tab w:val="left" w:pos="1134"/>
              </w:tabs>
              <w:suppressAutoHyphens/>
              <w:autoSpaceDE w:val="0"/>
              <w:autoSpaceDN w:val="0"/>
              <w:adjustRightInd w:val="0"/>
              <w:rPr>
                <w:rFonts w:ascii="Arial Narrow" w:hAnsi="Arial Narrow"/>
                <w:color w:val="0070C0"/>
              </w:rPr>
            </w:pPr>
            <w:r w:rsidRPr="00C72A6F">
              <w:rPr>
                <w:rFonts w:ascii="Arial Narrow" w:hAnsi="Arial Narrow"/>
                <w:color w:val="0070C0"/>
              </w:rPr>
              <w:t xml:space="preserve">Учтено </w:t>
            </w:r>
            <w:r>
              <w:rPr>
                <w:rFonts w:ascii="Arial Narrow" w:hAnsi="Arial Narrow"/>
                <w:color w:val="0070C0"/>
              </w:rPr>
              <w:t>путем изложения пункта 3</w:t>
            </w:r>
            <w:r w:rsidR="00425C0F">
              <w:rPr>
                <w:rFonts w:ascii="Arial Narrow" w:hAnsi="Arial Narrow"/>
                <w:color w:val="0070C0"/>
              </w:rPr>
              <w:t>7</w:t>
            </w:r>
            <w:bookmarkStart w:id="0" w:name="_GoBack"/>
            <w:bookmarkEnd w:id="0"/>
            <w:r>
              <w:rPr>
                <w:rFonts w:ascii="Arial Narrow" w:hAnsi="Arial Narrow"/>
                <w:color w:val="0070C0"/>
              </w:rPr>
              <w:t xml:space="preserve"> в новой редакции.</w:t>
            </w:r>
          </w:p>
          <w:p w:rsidR="00B543AA" w:rsidRPr="00C72A6F" w:rsidRDefault="00B543AA" w:rsidP="00796163">
            <w:pPr>
              <w:rPr>
                <w:rFonts w:ascii="Arial Narrow" w:hAnsi="Arial Narrow"/>
                <w:color w:val="0070C0"/>
              </w:rPr>
            </w:pPr>
          </w:p>
        </w:tc>
      </w:tr>
    </w:tbl>
    <w:p w:rsidR="00AC2C1E" w:rsidRPr="00EA301E" w:rsidRDefault="00AC2C1E" w:rsidP="007E1B4C"/>
    <w:sectPr w:rsidR="00AC2C1E" w:rsidRPr="00EA301E" w:rsidSect="00C72A6F">
      <w:headerReference w:type="default" r:id="rId8"/>
      <w:footerReference w:type="default" r:id="rId9"/>
      <w:pgSz w:w="16838" w:h="11906" w:orient="landscape"/>
      <w:pgMar w:top="567" w:right="567" w:bottom="567" w:left="56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50" w:rsidRDefault="00E67050" w:rsidP="00322689">
      <w:r>
        <w:separator/>
      </w:r>
    </w:p>
  </w:endnote>
  <w:endnote w:type="continuationSeparator" w:id="0">
    <w:p w:rsidR="00E67050" w:rsidRDefault="00E67050" w:rsidP="00322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85669"/>
      <w:docPartObj>
        <w:docPartGallery w:val="Page Numbers (Bottom of Page)"/>
        <w:docPartUnique/>
      </w:docPartObj>
    </w:sdtPr>
    <w:sdtContent>
      <w:p w:rsidR="00D00225" w:rsidRDefault="00A033B0">
        <w:pPr>
          <w:pStyle w:val="af3"/>
          <w:jc w:val="right"/>
        </w:pPr>
        <w:r>
          <w:fldChar w:fldCharType="begin"/>
        </w:r>
        <w:r w:rsidR="00D00225">
          <w:instrText>PAGE   \* MERGEFORMAT</w:instrText>
        </w:r>
        <w:r>
          <w:fldChar w:fldCharType="separate"/>
        </w:r>
        <w:r w:rsidR="0088464A">
          <w:rPr>
            <w:noProof/>
          </w:rPr>
          <w:t>1</w:t>
        </w:r>
        <w:r>
          <w:fldChar w:fldCharType="end"/>
        </w:r>
      </w:p>
    </w:sdtContent>
  </w:sdt>
  <w:p w:rsidR="00D00225" w:rsidRDefault="00D0022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50" w:rsidRDefault="00E67050" w:rsidP="00322689">
      <w:r>
        <w:separator/>
      </w:r>
    </w:p>
  </w:footnote>
  <w:footnote w:type="continuationSeparator" w:id="0">
    <w:p w:rsidR="00E67050" w:rsidRDefault="00E67050" w:rsidP="00322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4A" w:rsidRDefault="0088464A">
    <w:pPr>
      <w:pStyle w:val="af1"/>
    </w:pPr>
    <w:r w:rsidRPr="0088464A">
      <w:drawing>
        <wp:inline distT="0" distB="0" distL="0" distR="0">
          <wp:extent cx="819397" cy="307274"/>
          <wp:effectExtent l="0" t="0" r="0" b="0"/>
          <wp:docPr id="3"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043" cy="316516"/>
                  </a:xfrm>
                  <a:prstGeom prst="rect">
                    <a:avLst/>
                  </a:prstGeom>
                  <a:noFill/>
                  <a:ln>
                    <a:noFill/>
                  </a:ln>
                </pic:spPr>
              </pic:pic>
            </a:graphicData>
          </a:graphic>
        </wp:inline>
      </w:drawing>
    </w:r>
  </w:p>
  <w:p w:rsidR="00322689" w:rsidRDefault="00322689" w:rsidP="001C3FA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A6F"/>
    <w:multiLevelType w:val="hybridMultilevel"/>
    <w:tmpl w:val="201AF3A0"/>
    <w:lvl w:ilvl="0" w:tplc="5A8C005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30C87"/>
    <w:multiLevelType w:val="hybridMultilevel"/>
    <w:tmpl w:val="878217D6"/>
    <w:lvl w:ilvl="0" w:tplc="A030FB56">
      <w:start w:val="1"/>
      <w:numFmt w:val="russianLower"/>
      <w:lvlText w:val="%1)"/>
      <w:lvlJc w:val="left"/>
      <w:pPr>
        <w:tabs>
          <w:tab w:val="num" w:pos="1353"/>
        </w:tabs>
        <w:ind w:left="1353" w:hanging="453"/>
      </w:pPr>
      <w:rPr>
        <w:rFonts w:hint="default"/>
        <w:b w:val="0"/>
        <w:i w:val="0"/>
      </w:rPr>
    </w:lvl>
    <w:lvl w:ilvl="1" w:tplc="04190019">
      <w:start w:val="1"/>
      <w:numFmt w:val="lowerLetter"/>
      <w:lvlText w:val="%2."/>
      <w:lvlJc w:val="left"/>
      <w:pPr>
        <w:tabs>
          <w:tab w:val="num" w:pos="1440"/>
        </w:tabs>
        <w:ind w:left="1440" w:hanging="360"/>
      </w:pPr>
    </w:lvl>
    <w:lvl w:ilvl="2" w:tplc="C78CD852">
      <w:start w:val="5"/>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87248"/>
    <w:multiLevelType w:val="hybridMultilevel"/>
    <w:tmpl w:val="3EACA3C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4D5926"/>
    <w:multiLevelType w:val="hybridMultilevel"/>
    <w:tmpl w:val="11E6EAA8"/>
    <w:lvl w:ilvl="0" w:tplc="0419000F">
      <w:start w:val="4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11B84"/>
    <w:multiLevelType w:val="hybridMultilevel"/>
    <w:tmpl w:val="EC20144C"/>
    <w:lvl w:ilvl="0" w:tplc="0419000F">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15FF2"/>
    <w:multiLevelType w:val="hybridMultilevel"/>
    <w:tmpl w:val="934C4C8C"/>
    <w:lvl w:ilvl="0" w:tplc="2BBAE430">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90165"/>
    <w:multiLevelType w:val="hybridMultilevel"/>
    <w:tmpl w:val="49C67DC4"/>
    <w:lvl w:ilvl="0" w:tplc="EE34D9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D36E4D"/>
    <w:multiLevelType w:val="hybridMultilevel"/>
    <w:tmpl w:val="80C6D482"/>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E10E08"/>
    <w:multiLevelType w:val="hybridMultilevel"/>
    <w:tmpl w:val="CF88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6478A"/>
    <w:multiLevelType w:val="hybridMultilevel"/>
    <w:tmpl w:val="E5D0E8AC"/>
    <w:lvl w:ilvl="0" w:tplc="DDB05F7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84B54E4"/>
    <w:multiLevelType w:val="hybridMultilevel"/>
    <w:tmpl w:val="F3BE5C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511CCA"/>
    <w:multiLevelType w:val="hybridMultilevel"/>
    <w:tmpl w:val="87C6283E"/>
    <w:lvl w:ilvl="0" w:tplc="1D4C3BF8">
      <w:start w:val="1"/>
      <w:numFmt w:val="decimal"/>
      <w:pStyle w:val="a"/>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562806"/>
    <w:multiLevelType w:val="hybridMultilevel"/>
    <w:tmpl w:val="F60019DC"/>
    <w:lvl w:ilvl="0" w:tplc="0A0A7D6A">
      <w:start w:val="1"/>
      <w:numFmt w:val="upperRoman"/>
      <w:lvlText w:val="%1."/>
      <w:lvlJc w:val="center"/>
      <w:pPr>
        <w:tabs>
          <w:tab w:val="num" w:pos="5040"/>
        </w:tabs>
        <w:ind w:left="5040" w:hanging="720"/>
      </w:pPr>
      <w:rPr>
        <w:rFonts w:hint="default"/>
      </w:rPr>
    </w:lvl>
    <w:lvl w:ilvl="1" w:tplc="C804DB20">
      <w:start w:val="1"/>
      <w:numFmt w:val="russianLower"/>
      <w:pStyle w:val="a0"/>
      <w:lvlText w:val="%2)"/>
      <w:lvlJc w:val="left"/>
      <w:pPr>
        <w:tabs>
          <w:tab w:val="num" w:pos="453"/>
        </w:tabs>
        <w:ind w:left="453" w:hanging="453"/>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A8582E"/>
    <w:multiLevelType w:val="hybridMultilevel"/>
    <w:tmpl w:val="3AB21EA4"/>
    <w:lvl w:ilvl="0" w:tplc="BFC6BA1C">
      <w:start w:val="1"/>
      <w:numFmt w:val="decimal"/>
      <w:lvlText w:val="%1."/>
      <w:lvlJc w:val="left"/>
      <w:pPr>
        <w:tabs>
          <w:tab w:val="num" w:pos="1354"/>
        </w:tabs>
        <w:ind w:left="1354" w:hanging="454"/>
      </w:pPr>
      <w:rPr>
        <w:rFonts w:hint="default"/>
        <w:b w:val="0"/>
        <w:i w:val="0"/>
      </w:rPr>
    </w:lvl>
    <w:lvl w:ilvl="1" w:tplc="68061EF4">
      <w:start w:val="1"/>
      <w:numFmt w:val="russianLower"/>
      <w:lvlText w:val="%2)"/>
      <w:lvlJc w:val="left"/>
      <w:pPr>
        <w:tabs>
          <w:tab w:val="num" w:pos="1003"/>
        </w:tabs>
        <w:ind w:left="1003" w:hanging="283"/>
      </w:pPr>
      <w:rPr>
        <w:rFonts w:hint="default"/>
        <w:b w:val="0"/>
        <w:i w:val="0"/>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42F15CCE"/>
    <w:multiLevelType w:val="hybridMultilevel"/>
    <w:tmpl w:val="16F29632"/>
    <w:lvl w:ilvl="0" w:tplc="ABAEAB92">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E427E"/>
    <w:multiLevelType w:val="hybridMultilevel"/>
    <w:tmpl w:val="7DDE1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D3041"/>
    <w:multiLevelType w:val="hybridMultilevel"/>
    <w:tmpl w:val="EF08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D0566F"/>
    <w:multiLevelType w:val="hybridMultilevel"/>
    <w:tmpl w:val="AA366226"/>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C605A6"/>
    <w:multiLevelType w:val="multilevel"/>
    <w:tmpl w:val="9E5A939A"/>
    <w:numStyleLink w:val="6"/>
  </w:abstractNum>
  <w:abstractNum w:abstractNumId="19">
    <w:nsid w:val="66632989"/>
    <w:multiLevelType w:val="hybridMultilevel"/>
    <w:tmpl w:val="5E184C32"/>
    <w:lvl w:ilvl="0" w:tplc="A6B0215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83FE6"/>
    <w:multiLevelType w:val="hybridMultilevel"/>
    <w:tmpl w:val="0F7C4B4A"/>
    <w:lvl w:ilvl="0" w:tplc="B26ECC36">
      <w:start w:val="1"/>
      <w:numFmt w:val="decimal"/>
      <w:lvlText w:val="%1."/>
      <w:lvlJc w:val="left"/>
      <w:pPr>
        <w:tabs>
          <w:tab w:val="num" w:pos="1354"/>
        </w:tabs>
        <w:ind w:left="1354" w:hanging="45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B1669"/>
    <w:multiLevelType w:val="hybridMultilevel"/>
    <w:tmpl w:val="CD3CF756"/>
    <w:lvl w:ilvl="0" w:tplc="774AB6B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291CEF"/>
    <w:multiLevelType w:val="hybridMultilevel"/>
    <w:tmpl w:val="7B225D10"/>
    <w:lvl w:ilvl="0" w:tplc="19E01F74">
      <w:start w:val="14"/>
      <w:numFmt w:val="decimal"/>
      <w:lvlText w:val="%1."/>
      <w:lvlJc w:val="left"/>
      <w:pPr>
        <w:tabs>
          <w:tab w:val="num" w:pos="1354"/>
        </w:tabs>
        <w:ind w:left="1354" w:hanging="45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B4036"/>
    <w:multiLevelType w:val="hybridMultilevel"/>
    <w:tmpl w:val="9E5A865C"/>
    <w:lvl w:ilvl="0" w:tplc="9AEAB380">
      <w:start w:val="1"/>
      <w:numFmt w:val="russianLower"/>
      <w:pStyle w:val="a1"/>
      <w:lvlText w:val="%1)"/>
      <w:lvlJc w:val="left"/>
      <w:pPr>
        <w:ind w:left="144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63349D1"/>
    <w:multiLevelType w:val="hybridMultilevel"/>
    <w:tmpl w:val="934C4C8C"/>
    <w:lvl w:ilvl="0" w:tplc="2BBAE430">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A24C1"/>
    <w:multiLevelType w:val="multilevel"/>
    <w:tmpl w:val="9E5A939A"/>
    <w:styleLink w:val="6"/>
    <w:lvl w:ilvl="0">
      <w:start w:val="1"/>
      <w:numFmt w:val="russianLower"/>
      <w:lvlText w:val="%1)"/>
      <w:lvlJc w:val="left"/>
      <w:pPr>
        <w:ind w:left="1440"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7D43475B"/>
    <w:multiLevelType w:val="hybridMultilevel"/>
    <w:tmpl w:val="3D706726"/>
    <w:lvl w:ilvl="0" w:tplc="C2BC54D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3065"/>
    <w:multiLevelType w:val="hybridMultilevel"/>
    <w:tmpl w:val="EB4EA100"/>
    <w:lvl w:ilvl="0" w:tplc="0419000F">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
    <w:lvlOverride w:ilvl="0">
      <w:startOverride w:val="1"/>
    </w:lvlOverride>
  </w:num>
  <w:num w:numId="4">
    <w:abstractNumId w:val="11"/>
  </w:num>
  <w:num w:numId="5">
    <w:abstractNumId w:val="23"/>
  </w:num>
  <w:num w:numId="6">
    <w:abstractNumId w:val="2"/>
  </w:num>
  <w:num w:numId="7">
    <w:abstractNumId w:val="7"/>
  </w:num>
  <w:num w:numId="8">
    <w:abstractNumId w:val="17"/>
  </w:num>
  <w:num w:numId="9">
    <w:abstractNumId w:val="4"/>
  </w:num>
  <w:num w:numId="10">
    <w:abstractNumId w:val="27"/>
  </w:num>
  <w:num w:numId="11">
    <w:abstractNumId w:val="3"/>
  </w:num>
  <w:num w:numId="12">
    <w:abstractNumId w:val="1"/>
  </w:num>
  <w:num w:numId="13">
    <w:abstractNumId w:val="10"/>
  </w:num>
  <w:num w:numId="14">
    <w:abstractNumId w:val="21"/>
  </w:num>
  <w:num w:numId="15">
    <w:abstractNumId w:val="20"/>
  </w:num>
  <w:num w:numId="16">
    <w:abstractNumId w:val="0"/>
  </w:num>
  <w:num w:numId="17">
    <w:abstractNumId w:val="6"/>
  </w:num>
  <w:num w:numId="18">
    <w:abstractNumId w:val="14"/>
  </w:num>
  <w:num w:numId="19">
    <w:abstractNumId w:val="22"/>
  </w:num>
  <w:num w:numId="20">
    <w:abstractNumId w:val="26"/>
  </w:num>
  <w:num w:numId="21">
    <w:abstractNumId w:val="9"/>
  </w:num>
  <w:num w:numId="22">
    <w:abstractNumId w:val="25"/>
  </w:num>
  <w:num w:numId="23">
    <w:abstractNumId w:val="18"/>
  </w:num>
  <w:num w:numId="24">
    <w:abstractNumId w:val="8"/>
  </w:num>
  <w:num w:numId="25">
    <w:abstractNumId w:val="15"/>
  </w:num>
  <w:num w:numId="26">
    <w:abstractNumId w:val="16"/>
  </w:num>
  <w:num w:numId="27">
    <w:abstractNumId w:val="24"/>
  </w:num>
  <w:num w:numId="28">
    <w:abstractNumId w:val="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AC2C1E"/>
    <w:rsid w:val="00003840"/>
    <w:rsid w:val="00006FAD"/>
    <w:rsid w:val="00010149"/>
    <w:rsid w:val="000302C5"/>
    <w:rsid w:val="000328B0"/>
    <w:rsid w:val="00033F3F"/>
    <w:rsid w:val="000345B8"/>
    <w:rsid w:val="000356B7"/>
    <w:rsid w:val="0003634A"/>
    <w:rsid w:val="0003722D"/>
    <w:rsid w:val="00045CFD"/>
    <w:rsid w:val="00054E9C"/>
    <w:rsid w:val="00057AE2"/>
    <w:rsid w:val="00057E26"/>
    <w:rsid w:val="00060A64"/>
    <w:rsid w:val="00062603"/>
    <w:rsid w:val="00066E74"/>
    <w:rsid w:val="00073002"/>
    <w:rsid w:val="00075EFB"/>
    <w:rsid w:val="000771D1"/>
    <w:rsid w:val="0008041F"/>
    <w:rsid w:val="0008668B"/>
    <w:rsid w:val="00086CE4"/>
    <w:rsid w:val="00090A77"/>
    <w:rsid w:val="000923AB"/>
    <w:rsid w:val="00097DF3"/>
    <w:rsid w:val="000A2234"/>
    <w:rsid w:val="000B142B"/>
    <w:rsid w:val="000B5C0E"/>
    <w:rsid w:val="000C30D1"/>
    <w:rsid w:val="000C3247"/>
    <w:rsid w:val="000C3B25"/>
    <w:rsid w:val="000C5BB4"/>
    <w:rsid w:val="000E309D"/>
    <w:rsid w:val="000F3AC9"/>
    <w:rsid w:val="001004F9"/>
    <w:rsid w:val="00105DE8"/>
    <w:rsid w:val="001061DF"/>
    <w:rsid w:val="00112D6D"/>
    <w:rsid w:val="00114F9D"/>
    <w:rsid w:val="001236C0"/>
    <w:rsid w:val="0013382E"/>
    <w:rsid w:val="001353D6"/>
    <w:rsid w:val="0014206E"/>
    <w:rsid w:val="00144AD6"/>
    <w:rsid w:val="00146E44"/>
    <w:rsid w:val="00160A2B"/>
    <w:rsid w:val="001714B7"/>
    <w:rsid w:val="00174BAC"/>
    <w:rsid w:val="0017568A"/>
    <w:rsid w:val="001777A3"/>
    <w:rsid w:val="0018132E"/>
    <w:rsid w:val="00182443"/>
    <w:rsid w:val="001871DD"/>
    <w:rsid w:val="001953F6"/>
    <w:rsid w:val="00196D3E"/>
    <w:rsid w:val="001A3DB4"/>
    <w:rsid w:val="001A42FD"/>
    <w:rsid w:val="001B30FC"/>
    <w:rsid w:val="001B6165"/>
    <w:rsid w:val="001C1C25"/>
    <w:rsid w:val="001C3FAA"/>
    <w:rsid w:val="001D04F6"/>
    <w:rsid w:val="001D4A64"/>
    <w:rsid w:val="001E24CB"/>
    <w:rsid w:val="001E479E"/>
    <w:rsid w:val="001E60A6"/>
    <w:rsid w:val="001F71CB"/>
    <w:rsid w:val="001F757C"/>
    <w:rsid w:val="0020230F"/>
    <w:rsid w:val="00204ECC"/>
    <w:rsid w:val="00205D51"/>
    <w:rsid w:val="00205E43"/>
    <w:rsid w:val="00211A2B"/>
    <w:rsid w:val="00214C38"/>
    <w:rsid w:val="00214CD2"/>
    <w:rsid w:val="00216843"/>
    <w:rsid w:val="00223AF4"/>
    <w:rsid w:val="0023614F"/>
    <w:rsid w:val="00237DE1"/>
    <w:rsid w:val="00241C7E"/>
    <w:rsid w:val="00245613"/>
    <w:rsid w:val="00251914"/>
    <w:rsid w:val="00252960"/>
    <w:rsid w:val="00253ED2"/>
    <w:rsid w:val="00260CC1"/>
    <w:rsid w:val="0026276D"/>
    <w:rsid w:val="00262A07"/>
    <w:rsid w:val="002646BD"/>
    <w:rsid w:val="0026511F"/>
    <w:rsid w:val="00265AAC"/>
    <w:rsid w:val="002660AA"/>
    <w:rsid w:val="00271784"/>
    <w:rsid w:val="002744A4"/>
    <w:rsid w:val="00275389"/>
    <w:rsid w:val="00281812"/>
    <w:rsid w:val="00281822"/>
    <w:rsid w:val="00281AEA"/>
    <w:rsid w:val="0028310D"/>
    <w:rsid w:val="002917E7"/>
    <w:rsid w:val="00295452"/>
    <w:rsid w:val="002A4845"/>
    <w:rsid w:val="002C24B5"/>
    <w:rsid w:val="002C318A"/>
    <w:rsid w:val="002D1554"/>
    <w:rsid w:val="002D2148"/>
    <w:rsid w:val="002D3839"/>
    <w:rsid w:val="002D454C"/>
    <w:rsid w:val="002D4D80"/>
    <w:rsid w:val="002D5D7F"/>
    <w:rsid w:val="002E5E27"/>
    <w:rsid w:val="002E5FC6"/>
    <w:rsid w:val="002E6018"/>
    <w:rsid w:val="002F11F3"/>
    <w:rsid w:val="002F3ECF"/>
    <w:rsid w:val="0030184F"/>
    <w:rsid w:val="0031133F"/>
    <w:rsid w:val="00313C59"/>
    <w:rsid w:val="003171F0"/>
    <w:rsid w:val="00317839"/>
    <w:rsid w:val="0032127A"/>
    <w:rsid w:val="00322689"/>
    <w:rsid w:val="003267A4"/>
    <w:rsid w:val="00326B95"/>
    <w:rsid w:val="00327F27"/>
    <w:rsid w:val="00331FD4"/>
    <w:rsid w:val="00333FBB"/>
    <w:rsid w:val="0033775E"/>
    <w:rsid w:val="003405B8"/>
    <w:rsid w:val="003418A0"/>
    <w:rsid w:val="00343A0F"/>
    <w:rsid w:val="00344E93"/>
    <w:rsid w:val="0034530A"/>
    <w:rsid w:val="0035225D"/>
    <w:rsid w:val="00352AAB"/>
    <w:rsid w:val="00354D7F"/>
    <w:rsid w:val="00355686"/>
    <w:rsid w:val="00360F22"/>
    <w:rsid w:val="003629A9"/>
    <w:rsid w:val="003677EE"/>
    <w:rsid w:val="003733E5"/>
    <w:rsid w:val="0037551F"/>
    <w:rsid w:val="003858E8"/>
    <w:rsid w:val="00390834"/>
    <w:rsid w:val="00392F05"/>
    <w:rsid w:val="0039746C"/>
    <w:rsid w:val="003A1509"/>
    <w:rsid w:val="003A1AEA"/>
    <w:rsid w:val="003A2766"/>
    <w:rsid w:val="003A2E81"/>
    <w:rsid w:val="003A58B8"/>
    <w:rsid w:val="003B0F01"/>
    <w:rsid w:val="003B23DC"/>
    <w:rsid w:val="003B7169"/>
    <w:rsid w:val="003C0570"/>
    <w:rsid w:val="003C103C"/>
    <w:rsid w:val="003C4219"/>
    <w:rsid w:val="003C7164"/>
    <w:rsid w:val="003D1000"/>
    <w:rsid w:val="003D3ED9"/>
    <w:rsid w:val="003E44FB"/>
    <w:rsid w:val="003E697F"/>
    <w:rsid w:val="003E702E"/>
    <w:rsid w:val="003F1460"/>
    <w:rsid w:val="003F1B57"/>
    <w:rsid w:val="003F31A3"/>
    <w:rsid w:val="004021F1"/>
    <w:rsid w:val="0040282D"/>
    <w:rsid w:val="0040402F"/>
    <w:rsid w:val="00404A78"/>
    <w:rsid w:val="00405734"/>
    <w:rsid w:val="00414E81"/>
    <w:rsid w:val="00415011"/>
    <w:rsid w:val="004164A5"/>
    <w:rsid w:val="00421E3A"/>
    <w:rsid w:val="00424F0C"/>
    <w:rsid w:val="00425C0F"/>
    <w:rsid w:val="0042767A"/>
    <w:rsid w:val="00433947"/>
    <w:rsid w:val="004469BD"/>
    <w:rsid w:val="00447796"/>
    <w:rsid w:val="00453D96"/>
    <w:rsid w:val="004556B4"/>
    <w:rsid w:val="00461021"/>
    <w:rsid w:val="00461843"/>
    <w:rsid w:val="00461BC0"/>
    <w:rsid w:val="004651FE"/>
    <w:rsid w:val="00465653"/>
    <w:rsid w:val="00466E18"/>
    <w:rsid w:val="00473360"/>
    <w:rsid w:val="00473FCE"/>
    <w:rsid w:val="004745E3"/>
    <w:rsid w:val="00476D5F"/>
    <w:rsid w:val="00494DC0"/>
    <w:rsid w:val="00496037"/>
    <w:rsid w:val="00497365"/>
    <w:rsid w:val="004A38F3"/>
    <w:rsid w:val="004B0B92"/>
    <w:rsid w:val="004B0D73"/>
    <w:rsid w:val="004B0EEA"/>
    <w:rsid w:val="004B264B"/>
    <w:rsid w:val="004B3577"/>
    <w:rsid w:val="004B7645"/>
    <w:rsid w:val="004C005F"/>
    <w:rsid w:val="004C0E16"/>
    <w:rsid w:val="004C1F25"/>
    <w:rsid w:val="004C3B1A"/>
    <w:rsid w:val="004D31C6"/>
    <w:rsid w:val="004D3B97"/>
    <w:rsid w:val="004D3DDA"/>
    <w:rsid w:val="004D41C3"/>
    <w:rsid w:val="004E393B"/>
    <w:rsid w:val="004F28E9"/>
    <w:rsid w:val="00500271"/>
    <w:rsid w:val="005023FE"/>
    <w:rsid w:val="0050351D"/>
    <w:rsid w:val="00504D80"/>
    <w:rsid w:val="00506936"/>
    <w:rsid w:val="00510457"/>
    <w:rsid w:val="00512414"/>
    <w:rsid w:val="005132A5"/>
    <w:rsid w:val="0051470D"/>
    <w:rsid w:val="005160D7"/>
    <w:rsid w:val="0052310A"/>
    <w:rsid w:val="0052335E"/>
    <w:rsid w:val="00532A20"/>
    <w:rsid w:val="005359EA"/>
    <w:rsid w:val="00535FEE"/>
    <w:rsid w:val="00537017"/>
    <w:rsid w:val="00537C0B"/>
    <w:rsid w:val="00541F4A"/>
    <w:rsid w:val="00543E74"/>
    <w:rsid w:val="00545942"/>
    <w:rsid w:val="005503E4"/>
    <w:rsid w:val="0055672D"/>
    <w:rsid w:val="00562177"/>
    <w:rsid w:val="0056569A"/>
    <w:rsid w:val="0056762C"/>
    <w:rsid w:val="00573E5B"/>
    <w:rsid w:val="005774B3"/>
    <w:rsid w:val="005836F8"/>
    <w:rsid w:val="00587214"/>
    <w:rsid w:val="00595D87"/>
    <w:rsid w:val="005A25CD"/>
    <w:rsid w:val="005A266C"/>
    <w:rsid w:val="005A2833"/>
    <w:rsid w:val="005A7EDB"/>
    <w:rsid w:val="005B7984"/>
    <w:rsid w:val="005C15FB"/>
    <w:rsid w:val="005D1DD4"/>
    <w:rsid w:val="005D5D33"/>
    <w:rsid w:val="005E0A70"/>
    <w:rsid w:val="005E24E1"/>
    <w:rsid w:val="005F14F3"/>
    <w:rsid w:val="005F1D6D"/>
    <w:rsid w:val="00600837"/>
    <w:rsid w:val="006045B2"/>
    <w:rsid w:val="006112AA"/>
    <w:rsid w:val="00613081"/>
    <w:rsid w:val="0061399D"/>
    <w:rsid w:val="00613E55"/>
    <w:rsid w:val="006251DA"/>
    <w:rsid w:val="00626141"/>
    <w:rsid w:val="0062798F"/>
    <w:rsid w:val="006302A0"/>
    <w:rsid w:val="006312D3"/>
    <w:rsid w:val="00632028"/>
    <w:rsid w:val="006320FC"/>
    <w:rsid w:val="006441B9"/>
    <w:rsid w:val="0064739B"/>
    <w:rsid w:val="006560C8"/>
    <w:rsid w:val="00657194"/>
    <w:rsid w:val="006604A5"/>
    <w:rsid w:val="00663730"/>
    <w:rsid w:val="006646CD"/>
    <w:rsid w:val="00664978"/>
    <w:rsid w:val="006711B9"/>
    <w:rsid w:val="00673D8B"/>
    <w:rsid w:val="00676029"/>
    <w:rsid w:val="00676397"/>
    <w:rsid w:val="00677387"/>
    <w:rsid w:val="00681C2B"/>
    <w:rsid w:val="00685272"/>
    <w:rsid w:val="00686B54"/>
    <w:rsid w:val="00686FC8"/>
    <w:rsid w:val="006974BD"/>
    <w:rsid w:val="00697BD4"/>
    <w:rsid w:val="006A7115"/>
    <w:rsid w:val="006C23E5"/>
    <w:rsid w:val="006C3777"/>
    <w:rsid w:val="006C73C1"/>
    <w:rsid w:val="006C796B"/>
    <w:rsid w:val="006D3A53"/>
    <w:rsid w:val="006E4E7F"/>
    <w:rsid w:val="006E4FF5"/>
    <w:rsid w:val="006E7608"/>
    <w:rsid w:val="006E7BB6"/>
    <w:rsid w:val="006F242F"/>
    <w:rsid w:val="0070238D"/>
    <w:rsid w:val="007059BD"/>
    <w:rsid w:val="007100E7"/>
    <w:rsid w:val="00714F74"/>
    <w:rsid w:val="0073089A"/>
    <w:rsid w:val="0074412D"/>
    <w:rsid w:val="00750241"/>
    <w:rsid w:val="00750F08"/>
    <w:rsid w:val="00752FF7"/>
    <w:rsid w:val="00753653"/>
    <w:rsid w:val="00754EF5"/>
    <w:rsid w:val="00756108"/>
    <w:rsid w:val="00756E7E"/>
    <w:rsid w:val="00763835"/>
    <w:rsid w:val="00764D9E"/>
    <w:rsid w:val="007713D4"/>
    <w:rsid w:val="007734C6"/>
    <w:rsid w:val="00776755"/>
    <w:rsid w:val="007835B1"/>
    <w:rsid w:val="007848BB"/>
    <w:rsid w:val="00795E24"/>
    <w:rsid w:val="00797A79"/>
    <w:rsid w:val="007A0670"/>
    <w:rsid w:val="007A3EA3"/>
    <w:rsid w:val="007B158B"/>
    <w:rsid w:val="007B4BA2"/>
    <w:rsid w:val="007C0D14"/>
    <w:rsid w:val="007C16D1"/>
    <w:rsid w:val="007C39BC"/>
    <w:rsid w:val="007C4564"/>
    <w:rsid w:val="007C45CE"/>
    <w:rsid w:val="007C7E2C"/>
    <w:rsid w:val="007D5980"/>
    <w:rsid w:val="007D770E"/>
    <w:rsid w:val="007E1993"/>
    <w:rsid w:val="007E1B4C"/>
    <w:rsid w:val="007E2332"/>
    <w:rsid w:val="007E33D8"/>
    <w:rsid w:val="007F0F98"/>
    <w:rsid w:val="007F544A"/>
    <w:rsid w:val="00802FCB"/>
    <w:rsid w:val="00804894"/>
    <w:rsid w:val="00827AD0"/>
    <w:rsid w:val="008341CB"/>
    <w:rsid w:val="00835726"/>
    <w:rsid w:val="00836936"/>
    <w:rsid w:val="00836D3A"/>
    <w:rsid w:val="00841919"/>
    <w:rsid w:val="00841A1D"/>
    <w:rsid w:val="00842F69"/>
    <w:rsid w:val="00845963"/>
    <w:rsid w:val="008630D2"/>
    <w:rsid w:val="008633D0"/>
    <w:rsid w:val="0087106F"/>
    <w:rsid w:val="00875ECC"/>
    <w:rsid w:val="00882E04"/>
    <w:rsid w:val="0088464A"/>
    <w:rsid w:val="00885BA3"/>
    <w:rsid w:val="008961E1"/>
    <w:rsid w:val="00896DFC"/>
    <w:rsid w:val="008A0944"/>
    <w:rsid w:val="008A11FD"/>
    <w:rsid w:val="008A7115"/>
    <w:rsid w:val="008A7A34"/>
    <w:rsid w:val="008B6B0B"/>
    <w:rsid w:val="008C2A07"/>
    <w:rsid w:val="008C6D56"/>
    <w:rsid w:val="008C7690"/>
    <w:rsid w:val="008D1C65"/>
    <w:rsid w:val="008D22E2"/>
    <w:rsid w:val="008D351E"/>
    <w:rsid w:val="008E182D"/>
    <w:rsid w:val="008E2A70"/>
    <w:rsid w:val="008E3397"/>
    <w:rsid w:val="008E6C20"/>
    <w:rsid w:val="008E75A0"/>
    <w:rsid w:val="008F1FC8"/>
    <w:rsid w:val="00902298"/>
    <w:rsid w:val="00902320"/>
    <w:rsid w:val="00905F98"/>
    <w:rsid w:val="00906B14"/>
    <w:rsid w:val="00907C3D"/>
    <w:rsid w:val="00911654"/>
    <w:rsid w:val="00912B5F"/>
    <w:rsid w:val="009158C8"/>
    <w:rsid w:val="0091628E"/>
    <w:rsid w:val="00916E24"/>
    <w:rsid w:val="00917355"/>
    <w:rsid w:val="00921CB7"/>
    <w:rsid w:val="009231A2"/>
    <w:rsid w:val="009249F3"/>
    <w:rsid w:val="009340F9"/>
    <w:rsid w:val="00934F0E"/>
    <w:rsid w:val="009351C6"/>
    <w:rsid w:val="00937586"/>
    <w:rsid w:val="00942678"/>
    <w:rsid w:val="00945079"/>
    <w:rsid w:val="00947A94"/>
    <w:rsid w:val="009570B4"/>
    <w:rsid w:val="009609A0"/>
    <w:rsid w:val="009643C0"/>
    <w:rsid w:val="00975DD0"/>
    <w:rsid w:val="00983930"/>
    <w:rsid w:val="00983FC7"/>
    <w:rsid w:val="0098461C"/>
    <w:rsid w:val="00986E92"/>
    <w:rsid w:val="009A291F"/>
    <w:rsid w:val="009A470F"/>
    <w:rsid w:val="009B0096"/>
    <w:rsid w:val="009B446A"/>
    <w:rsid w:val="009B4649"/>
    <w:rsid w:val="009B57D7"/>
    <w:rsid w:val="009B5E96"/>
    <w:rsid w:val="009B6610"/>
    <w:rsid w:val="009C22E4"/>
    <w:rsid w:val="009C761A"/>
    <w:rsid w:val="009D2D7A"/>
    <w:rsid w:val="009D5A6A"/>
    <w:rsid w:val="009D6259"/>
    <w:rsid w:val="009E0704"/>
    <w:rsid w:val="009E5023"/>
    <w:rsid w:val="009F0267"/>
    <w:rsid w:val="009F1320"/>
    <w:rsid w:val="009F1A18"/>
    <w:rsid w:val="009F4966"/>
    <w:rsid w:val="00A01A2C"/>
    <w:rsid w:val="00A033B0"/>
    <w:rsid w:val="00A033B2"/>
    <w:rsid w:val="00A10D50"/>
    <w:rsid w:val="00A16025"/>
    <w:rsid w:val="00A16E1A"/>
    <w:rsid w:val="00A2195D"/>
    <w:rsid w:val="00A21C0F"/>
    <w:rsid w:val="00A22779"/>
    <w:rsid w:val="00A35CA1"/>
    <w:rsid w:val="00A47004"/>
    <w:rsid w:val="00A515DB"/>
    <w:rsid w:val="00A523EE"/>
    <w:rsid w:val="00A533C3"/>
    <w:rsid w:val="00A54384"/>
    <w:rsid w:val="00A5461E"/>
    <w:rsid w:val="00A55130"/>
    <w:rsid w:val="00A64C02"/>
    <w:rsid w:val="00A64E95"/>
    <w:rsid w:val="00A66D62"/>
    <w:rsid w:val="00A677A9"/>
    <w:rsid w:val="00A72FCA"/>
    <w:rsid w:val="00A7563B"/>
    <w:rsid w:val="00A80062"/>
    <w:rsid w:val="00A81FBF"/>
    <w:rsid w:val="00A82B56"/>
    <w:rsid w:val="00A91C41"/>
    <w:rsid w:val="00A9228A"/>
    <w:rsid w:val="00A92AED"/>
    <w:rsid w:val="00A95740"/>
    <w:rsid w:val="00A96BD7"/>
    <w:rsid w:val="00AA19F0"/>
    <w:rsid w:val="00AA2CE1"/>
    <w:rsid w:val="00AA49E1"/>
    <w:rsid w:val="00AA5407"/>
    <w:rsid w:val="00AA61EF"/>
    <w:rsid w:val="00AA6353"/>
    <w:rsid w:val="00AA6563"/>
    <w:rsid w:val="00AC1556"/>
    <w:rsid w:val="00AC259D"/>
    <w:rsid w:val="00AC2903"/>
    <w:rsid w:val="00AC2C1E"/>
    <w:rsid w:val="00AC53B4"/>
    <w:rsid w:val="00AC58CF"/>
    <w:rsid w:val="00AC5F7C"/>
    <w:rsid w:val="00AC73CD"/>
    <w:rsid w:val="00AC7D22"/>
    <w:rsid w:val="00AD038F"/>
    <w:rsid w:val="00AD2602"/>
    <w:rsid w:val="00AD4E24"/>
    <w:rsid w:val="00AD4E46"/>
    <w:rsid w:val="00AD6C60"/>
    <w:rsid w:val="00AE4A0D"/>
    <w:rsid w:val="00AE4DFB"/>
    <w:rsid w:val="00AE5884"/>
    <w:rsid w:val="00AE6C11"/>
    <w:rsid w:val="00AF3930"/>
    <w:rsid w:val="00AF63E4"/>
    <w:rsid w:val="00B02A77"/>
    <w:rsid w:val="00B042D6"/>
    <w:rsid w:val="00B11786"/>
    <w:rsid w:val="00B11B09"/>
    <w:rsid w:val="00B1225C"/>
    <w:rsid w:val="00B14283"/>
    <w:rsid w:val="00B1618E"/>
    <w:rsid w:val="00B162DD"/>
    <w:rsid w:val="00B20091"/>
    <w:rsid w:val="00B200BA"/>
    <w:rsid w:val="00B23D8A"/>
    <w:rsid w:val="00B2484F"/>
    <w:rsid w:val="00B27AB1"/>
    <w:rsid w:val="00B34CA7"/>
    <w:rsid w:val="00B41D63"/>
    <w:rsid w:val="00B4724C"/>
    <w:rsid w:val="00B543AA"/>
    <w:rsid w:val="00B57CA9"/>
    <w:rsid w:val="00B65A22"/>
    <w:rsid w:val="00B660BD"/>
    <w:rsid w:val="00B76D28"/>
    <w:rsid w:val="00B81DAE"/>
    <w:rsid w:val="00B825AC"/>
    <w:rsid w:val="00B9054D"/>
    <w:rsid w:val="00B9330F"/>
    <w:rsid w:val="00B95192"/>
    <w:rsid w:val="00BA0479"/>
    <w:rsid w:val="00BA1362"/>
    <w:rsid w:val="00BA1DF7"/>
    <w:rsid w:val="00BA3EBC"/>
    <w:rsid w:val="00BA6699"/>
    <w:rsid w:val="00BB1E68"/>
    <w:rsid w:val="00BB656E"/>
    <w:rsid w:val="00BC11C8"/>
    <w:rsid w:val="00BC1A69"/>
    <w:rsid w:val="00BC1E7A"/>
    <w:rsid w:val="00BC50FF"/>
    <w:rsid w:val="00BD0B94"/>
    <w:rsid w:val="00BD4888"/>
    <w:rsid w:val="00BD60B9"/>
    <w:rsid w:val="00BD67E2"/>
    <w:rsid w:val="00BD7ADF"/>
    <w:rsid w:val="00BE005E"/>
    <w:rsid w:val="00BE41A9"/>
    <w:rsid w:val="00BF245F"/>
    <w:rsid w:val="00BF324B"/>
    <w:rsid w:val="00BF332F"/>
    <w:rsid w:val="00BF3734"/>
    <w:rsid w:val="00C051E4"/>
    <w:rsid w:val="00C11A83"/>
    <w:rsid w:val="00C12153"/>
    <w:rsid w:val="00C122C0"/>
    <w:rsid w:val="00C12D0D"/>
    <w:rsid w:val="00C15265"/>
    <w:rsid w:val="00C1614C"/>
    <w:rsid w:val="00C16388"/>
    <w:rsid w:val="00C1663F"/>
    <w:rsid w:val="00C16C41"/>
    <w:rsid w:val="00C17E29"/>
    <w:rsid w:val="00C21A2B"/>
    <w:rsid w:val="00C22AB9"/>
    <w:rsid w:val="00C25AED"/>
    <w:rsid w:val="00C27297"/>
    <w:rsid w:val="00C317AF"/>
    <w:rsid w:val="00C410FB"/>
    <w:rsid w:val="00C43FA2"/>
    <w:rsid w:val="00C50C4F"/>
    <w:rsid w:val="00C703A1"/>
    <w:rsid w:val="00C70913"/>
    <w:rsid w:val="00C729C9"/>
    <w:rsid w:val="00C72A6F"/>
    <w:rsid w:val="00C775BE"/>
    <w:rsid w:val="00C81E40"/>
    <w:rsid w:val="00C90BCE"/>
    <w:rsid w:val="00C91D72"/>
    <w:rsid w:val="00C92E33"/>
    <w:rsid w:val="00CA3F3F"/>
    <w:rsid w:val="00CA47BE"/>
    <w:rsid w:val="00CB36E8"/>
    <w:rsid w:val="00CB5341"/>
    <w:rsid w:val="00CC28A5"/>
    <w:rsid w:val="00CC6005"/>
    <w:rsid w:val="00CD0164"/>
    <w:rsid w:val="00CD2260"/>
    <w:rsid w:val="00CD33DF"/>
    <w:rsid w:val="00CD56D6"/>
    <w:rsid w:val="00CE1AF2"/>
    <w:rsid w:val="00CE2F48"/>
    <w:rsid w:val="00CE53F6"/>
    <w:rsid w:val="00CE7FE4"/>
    <w:rsid w:val="00CF31B2"/>
    <w:rsid w:val="00CF3C40"/>
    <w:rsid w:val="00D00225"/>
    <w:rsid w:val="00D049EE"/>
    <w:rsid w:val="00D11154"/>
    <w:rsid w:val="00D23602"/>
    <w:rsid w:val="00D3362E"/>
    <w:rsid w:val="00D33CD0"/>
    <w:rsid w:val="00D358BA"/>
    <w:rsid w:val="00D439EB"/>
    <w:rsid w:val="00D448C0"/>
    <w:rsid w:val="00D457E0"/>
    <w:rsid w:val="00D512B8"/>
    <w:rsid w:val="00D55232"/>
    <w:rsid w:val="00D57ECF"/>
    <w:rsid w:val="00D6325B"/>
    <w:rsid w:val="00D7493B"/>
    <w:rsid w:val="00D833EF"/>
    <w:rsid w:val="00D85B46"/>
    <w:rsid w:val="00D96D47"/>
    <w:rsid w:val="00D97392"/>
    <w:rsid w:val="00D97C99"/>
    <w:rsid w:val="00DA1FA7"/>
    <w:rsid w:val="00DA2F29"/>
    <w:rsid w:val="00DB160B"/>
    <w:rsid w:val="00DB3AB9"/>
    <w:rsid w:val="00DB3EE1"/>
    <w:rsid w:val="00DB6CF4"/>
    <w:rsid w:val="00DC1420"/>
    <w:rsid w:val="00DC7834"/>
    <w:rsid w:val="00DD0F58"/>
    <w:rsid w:val="00DE3322"/>
    <w:rsid w:val="00DF3E5E"/>
    <w:rsid w:val="00DF426C"/>
    <w:rsid w:val="00E0470B"/>
    <w:rsid w:val="00E10860"/>
    <w:rsid w:val="00E16618"/>
    <w:rsid w:val="00E17507"/>
    <w:rsid w:val="00E205B2"/>
    <w:rsid w:val="00E2727F"/>
    <w:rsid w:val="00E27AE9"/>
    <w:rsid w:val="00E30091"/>
    <w:rsid w:val="00E34958"/>
    <w:rsid w:val="00E364CF"/>
    <w:rsid w:val="00E462E2"/>
    <w:rsid w:val="00E4661D"/>
    <w:rsid w:val="00E46948"/>
    <w:rsid w:val="00E50CA0"/>
    <w:rsid w:val="00E56634"/>
    <w:rsid w:val="00E63E85"/>
    <w:rsid w:val="00E64085"/>
    <w:rsid w:val="00E67050"/>
    <w:rsid w:val="00E70244"/>
    <w:rsid w:val="00E72047"/>
    <w:rsid w:val="00E75977"/>
    <w:rsid w:val="00E807DA"/>
    <w:rsid w:val="00E81398"/>
    <w:rsid w:val="00E833D0"/>
    <w:rsid w:val="00E87375"/>
    <w:rsid w:val="00EA24C7"/>
    <w:rsid w:val="00EA301E"/>
    <w:rsid w:val="00EA7E5A"/>
    <w:rsid w:val="00EB21AF"/>
    <w:rsid w:val="00EB52A8"/>
    <w:rsid w:val="00EB7987"/>
    <w:rsid w:val="00EC0130"/>
    <w:rsid w:val="00EC311E"/>
    <w:rsid w:val="00ED2391"/>
    <w:rsid w:val="00ED2422"/>
    <w:rsid w:val="00ED33DB"/>
    <w:rsid w:val="00EE33D1"/>
    <w:rsid w:val="00EF2909"/>
    <w:rsid w:val="00EF35B8"/>
    <w:rsid w:val="00EF6234"/>
    <w:rsid w:val="00F06F50"/>
    <w:rsid w:val="00F118C5"/>
    <w:rsid w:val="00F11B27"/>
    <w:rsid w:val="00F13EA8"/>
    <w:rsid w:val="00F15D84"/>
    <w:rsid w:val="00F17555"/>
    <w:rsid w:val="00F176FB"/>
    <w:rsid w:val="00F21628"/>
    <w:rsid w:val="00F25376"/>
    <w:rsid w:val="00F376B6"/>
    <w:rsid w:val="00F4015E"/>
    <w:rsid w:val="00F405ED"/>
    <w:rsid w:val="00F406D4"/>
    <w:rsid w:val="00F44573"/>
    <w:rsid w:val="00F4569F"/>
    <w:rsid w:val="00F53C3E"/>
    <w:rsid w:val="00F5705D"/>
    <w:rsid w:val="00F574E1"/>
    <w:rsid w:val="00F606DF"/>
    <w:rsid w:val="00F62327"/>
    <w:rsid w:val="00F638CB"/>
    <w:rsid w:val="00F65FCB"/>
    <w:rsid w:val="00F66182"/>
    <w:rsid w:val="00F67391"/>
    <w:rsid w:val="00F72E93"/>
    <w:rsid w:val="00F7727A"/>
    <w:rsid w:val="00F77C37"/>
    <w:rsid w:val="00F83C12"/>
    <w:rsid w:val="00F87EE5"/>
    <w:rsid w:val="00F9023E"/>
    <w:rsid w:val="00F90589"/>
    <w:rsid w:val="00F91C8D"/>
    <w:rsid w:val="00F93481"/>
    <w:rsid w:val="00F9763F"/>
    <w:rsid w:val="00FA563A"/>
    <w:rsid w:val="00FA7028"/>
    <w:rsid w:val="00FB0E17"/>
    <w:rsid w:val="00FB3BB1"/>
    <w:rsid w:val="00FB4204"/>
    <w:rsid w:val="00FB5A92"/>
    <w:rsid w:val="00FB5F8A"/>
    <w:rsid w:val="00FC02FD"/>
    <w:rsid w:val="00FC09FE"/>
    <w:rsid w:val="00FC41F7"/>
    <w:rsid w:val="00FC642E"/>
    <w:rsid w:val="00FD2B46"/>
    <w:rsid w:val="00FD515B"/>
    <w:rsid w:val="00FE072D"/>
    <w:rsid w:val="00FE4AF8"/>
    <w:rsid w:val="00FF0B67"/>
    <w:rsid w:val="00FF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2C1E"/>
    <w:rPr>
      <w:rFonts w:eastAsia="Calibr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AC2C1E"/>
    <w:pPr>
      <w:ind w:left="720"/>
      <w:contextualSpacing/>
    </w:pPr>
  </w:style>
  <w:style w:type="paragraph" w:customStyle="1" w:styleId="a7">
    <w:name w:val="пункты"/>
    <w:basedOn w:val="a8"/>
    <w:rsid w:val="00146E44"/>
    <w:pPr>
      <w:spacing w:before="240" w:after="0"/>
      <w:jc w:val="both"/>
    </w:pPr>
    <w:rPr>
      <w:rFonts w:eastAsia="Times New Roman"/>
      <w:lang w:eastAsia="ru-RU"/>
    </w:rPr>
  </w:style>
  <w:style w:type="paragraph" w:styleId="a8">
    <w:name w:val="Body Text"/>
    <w:basedOn w:val="a2"/>
    <w:rsid w:val="00146E44"/>
    <w:pPr>
      <w:spacing w:after="120"/>
    </w:pPr>
  </w:style>
  <w:style w:type="paragraph" w:customStyle="1" w:styleId="a0">
    <w:name w:val="подпункты"/>
    <w:basedOn w:val="a8"/>
    <w:rsid w:val="00421E3A"/>
    <w:pPr>
      <w:numPr>
        <w:ilvl w:val="1"/>
        <w:numId w:val="2"/>
      </w:numPr>
      <w:spacing w:before="120" w:after="0"/>
      <w:jc w:val="both"/>
    </w:pPr>
    <w:rPr>
      <w:rFonts w:eastAsia="Times New Roman"/>
      <w:lang w:eastAsia="ru-RU"/>
    </w:rPr>
  </w:style>
  <w:style w:type="paragraph" w:customStyle="1" w:styleId="a9">
    <w:name w:val="абзацы"/>
    <w:basedOn w:val="a8"/>
    <w:rsid w:val="00421E3A"/>
    <w:pPr>
      <w:spacing w:before="120" w:after="0"/>
      <w:ind w:left="454" w:firstLine="227"/>
      <w:jc w:val="both"/>
    </w:pPr>
    <w:rPr>
      <w:rFonts w:eastAsia="Times New Roman"/>
      <w:lang w:eastAsia="ru-RU"/>
    </w:rPr>
  </w:style>
  <w:style w:type="paragraph" w:customStyle="1" w:styleId="a">
    <w:name w:val="Параграф"/>
    <w:basedOn w:val="a2"/>
    <w:qFormat/>
    <w:rsid w:val="00795E24"/>
    <w:pPr>
      <w:keepLines/>
      <w:numPr>
        <w:numId w:val="4"/>
      </w:numPr>
      <w:spacing w:before="120"/>
      <w:ind w:left="0" w:firstLine="851"/>
      <w:jc w:val="both"/>
    </w:pPr>
    <w:rPr>
      <w:rFonts w:eastAsia="Times New Roman"/>
      <w:sz w:val="28"/>
      <w:szCs w:val="28"/>
      <w:lang w:eastAsia="ru-RU"/>
    </w:rPr>
  </w:style>
  <w:style w:type="paragraph" w:customStyle="1" w:styleId="a1">
    <w:name w:val="подпункт"/>
    <w:basedOn w:val="a2"/>
    <w:qFormat/>
    <w:rsid w:val="00795E24"/>
    <w:pPr>
      <w:keepLines/>
      <w:numPr>
        <w:numId w:val="5"/>
      </w:numPr>
      <w:autoSpaceDE w:val="0"/>
      <w:autoSpaceDN w:val="0"/>
      <w:adjustRightInd w:val="0"/>
      <w:ind w:left="0" w:firstLine="851"/>
      <w:jc w:val="both"/>
    </w:pPr>
    <w:rPr>
      <w:rFonts w:eastAsia="Times New Roman"/>
      <w:sz w:val="28"/>
      <w:szCs w:val="28"/>
      <w:lang w:eastAsia="ru-RU"/>
    </w:rPr>
  </w:style>
  <w:style w:type="paragraph" w:customStyle="1" w:styleId="aa">
    <w:name w:val="Абзац в параграфе"/>
    <w:basedOn w:val="a2"/>
    <w:next w:val="a"/>
    <w:qFormat/>
    <w:rsid w:val="003C7164"/>
    <w:pPr>
      <w:keepLines/>
      <w:autoSpaceDE w:val="0"/>
      <w:autoSpaceDN w:val="0"/>
      <w:adjustRightInd w:val="0"/>
      <w:ind w:firstLine="851"/>
      <w:jc w:val="both"/>
    </w:pPr>
    <w:rPr>
      <w:rFonts w:eastAsia="Times New Roman"/>
      <w:sz w:val="28"/>
      <w:szCs w:val="28"/>
      <w:lang w:eastAsia="ru-RU"/>
    </w:rPr>
  </w:style>
  <w:style w:type="paragraph" w:customStyle="1" w:styleId="ConsNormal">
    <w:name w:val="ConsNormal"/>
    <w:rsid w:val="00F574E1"/>
    <w:pPr>
      <w:widowControl w:val="0"/>
      <w:autoSpaceDE w:val="0"/>
      <w:autoSpaceDN w:val="0"/>
      <w:adjustRightInd w:val="0"/>
      <w:ind w:right="19772" w:firstLine="720"/>
    </w:pPr>
    <w:rPr>
      <w:rFonts w:ascii="Arial" w:hAnsi="Arial" w:cs="Arial"/>
      <w:sz w:val="24"/>
      <w:szCs w:val="24"/>
    </w:rPr>
  </w:style>
  <w:style w:type="paragraph" w:styleId="ab">
    <w:name w:val="Balloon Text"/>
    <w:basedOn w:val="a2"/>
    <w:link w:val="ac"/>
    <w:rsid w:val="00331FD4"/>
    <w:rPr>
      <w:rFonts w:ascii="Tahoma" w:hAnsi="Tahoma"/>
      <w:sz w:val="16"/>
      <w:szCs w:val="16"/>
    </w:rPr>
  </w:style>
  <w:style w:type="character" w:customStyle="1" w:styleId="ac">
    <w:name w:val="Текст выноски Знак"/>
    <w:link w:val="ab"/>
    <w:rsid w:val="00331FD4"/>
    <w:rPr>
      <w:rFonts w:ascii="Tahoma" w:eastAsia="Calibri" w:hAnsi="Tahoma" w:cs="Tahoma"/>
      <w:sz w:val="16"/>
      <w:szCs w:val="16"/>
      <w:lang w:eastAsia="en-US"/>
    </w:rPr>
  </w:style>
  <w:style w:type="paragraph" w:customStyle="1" w:styleId="21">
    <w:name w:val="Основной текст с отступом 21"/>
    <w:basedOn w:val="a2"/>
    <w:rsid w:val="00AD6C60"/>
    <w:pPr>
      <w:ind w:firstLine="708"/>
      <w:jc w:val="both"/>
    </w:pPr>
    <w:rPr>
      <w:rFonts w:ascii="Arial" w:eastAsia="Times New Roman" w:hAnsi="Arial"/>
      <w:szCs w:val="20"/>
      <w:lang w:eastAsia="ru-RU"/>
    </w:rPr>
  </w:style>
  <w:style w:type="numbering" w:customStyle="1" w:styleId="6">
    <w:name w:val="Стиль6"/>
    <w:rsid w:val="00FB3BB1"/>
    <w:pPr>
      <w:numPr>
        <w:numId w:val="22"/>
      </w:numPr>
    </w:pPr>
  </w:style>
  <w:style w:type="paragraph" w:customStyle="1" w:styleId="ConsPlusNormal">
    <w:name w:val="ConsPlusNormal"/>
    <w:rsid w:val="001D04F6"/>
    <w:pPr>
      <w:autoSpaceDE w:val="0"/>
      <w:autoSpaceDN w:val="0"/>
      <w:adjustRightInd w:val="0"/>
      <w:ind w:firstLine="720"/>
    </w:pPr>
    <w:rPr>
      <w:rFonts w:ascii="Arial" w:hAnsi="Arial" w:cs="Arial"/>
    </w:rPr>
  </w:style>
  <w:style w:type="paragraph" w:styleId="ad">
    <w:name w:val="Subtitle"/>
    <w:basedOn w:val="a2"/>
    <w:next w:val="a2"/>
    <w:link w:val="ae"/>
    <w:uiPriority w:val="99"/>
    <w:qFormat/>
    <w:rsid w:val="006C3777"/>
    <w:pPr>
      <w:keepNext/>
      <w:keepLines/>
      <w:numPr>
        <w:ilvl w:val="1"/>
      </w:numPr>
      <w:spacing w:before="240" w:line="276" w:lineRule="auto"/>
      <w:ind w:firstLine="567"/>
      <w:jc w:val="center"/>
    </w:pPr>
    <w:rPr>
      <w:rFonts w:ascii="Times New Roman CYR" w:eastAsiaTheme="majorEastAsia" w:hAnsi="Times New Roman CYR" w:cstheme="majorBidi"/>
      <w:b/>
      <w:iCs/>
      <w:color w:val="006666"/>
      <w:spacing w:val="20"/>
    </w:rPr>
  </w:style>
  <w:style w:type="character" w:customStyle="1" w:styleId="ae">
    <w:name w:val="Подзаголовок Знак"/>
    <w:basedOn w:val="a3"/>
    <w:link w:val="ad"/>
    <w:uiPriority w:val="99"/>
    <w:rsid w:val="006C3777"/>
    <w:rPr>
      <w:rFonts w:ascii="Times New Roman CYR" w:eastAsiaTheme="majorEastAsia" w:hAnsi="Times New Roman CYR" w:cstheme="majorBidi"/>
      <w:b/>
      <w:iCs/>
      <w:color w:val="006666"/>
      <w:spacing w:val="20"/>
      <w:sz w:val="24"/>
      <w:szCs w:val="24"/>
      <w:lang w:eastAsia="en-US"/>
    </w:rPr>
  </w:style>
  <w:style w:type="paragraph" w:styleId="af">
    <w:name w:val="Normal (Web)"/>
    <w:basedOn w:val="a2"/>
    <w:uiPriority w:val="99"/>
    <w:semiHidden/>
    <w:unhideWhenUsed/>
    <w:rsid w:val="00214C38"/>
    <w:pPr>
      <w:spacing w:before="100" w:beforeAutospacing="1" w:after="100" w:afterAutospacing="1"/>
    </w:pPr>
    <w:rPr>
      <w:rFonts w:eastAsia="Times New Roman"/>
      <w:lang w:eastAsia="ru-RU"/>
    </w:rPr>
  </w:style>
  <w:style w:type="character" w:styleId="af0">
    <w:name w:val="Hyperlink"/>
    <w:basedOn w:val="a3"/>
    <w:unhideWhenUsed/>
    <w:rsid w:val="00F65FCB"/>
    <w:rPr>
      <w:color w:val="0000FF" w:themeColor="hyperlink"/>
      <w:u w:val="single"/>
    </w:rPr>
  </w:style>
  <w:style w:type="character" w:customStyle="1" w:styleId="UnresolvedMention">
    <w:name w:val="Unresolved Mention"/>
    <w:basedOn w:val="a3"/>
    <w:uiPriority w:val="99"/>
    <w:semiHidden/>
    <w:unhideWhenUsed/>
    <w:rsid w:val="00F65FCB"/>
    <w:rPr>
      <w:color w:val="808080"/>
      <w:shd w:val="clear" w:color="auto" w:fill="E6E6E6"/>
    </w:rPr>
  </w:style>
  <w:style w:type="paragraph" w:styleId="af1">
    <w:name w:val="header"/>
    <w:basedOn w:val="a2"/>
    <w:link w:val="af2"/>
    <w:uiPriority w:val="99"/>
    <w:unhideWhenUsed/>
    <w:rsid w:val="00322689"/>
    <w:pPr>
      <w:tabs>
        <w:tab w:val="center" w:pos="4677"/>
        <w:tab w:val="right" w:pos="9355"/>
      </w:tabs>
    </w:pPr>
  </w:style>
  <w:style w:type="character" w:customStyle="1" w:styleId="af2">
    <w:name w:val="Верхний колонтитул Знак"/>
    <w:basedOn w:val="a3"/>
    <w:link w:val="af1"/>
    <w:uiPriority w:val="99"/>
    <w:rsid w:val="00322689"/>
    <w:rPr>
      <w:rFonts w:eastAsia="Calibri"/>
      <w:sz w:val="24"/>
      <w:szCs w:val="24"/>
      <w:lang w:eastAsia="en-US"/>
    </w:rPr>
  </w:style>
  <w:style w:type="paragraph" w:styleId="af3">
    <w:name w:val="footer"/>
    <w:basedOn w:val="a2"/>
    <w:link w:val="af4"/>
    <w:uiPriority w:val="99"/>
    <w:unhideWhenUsed/>
    <w:rsid w:val="00322689"/>
    <w:pPr>
      <w:tabs>
        <w:tab w:val="center" w:pos="4677"/>
        <w:tab w:val="right" w:pos="9355"/>
      </w:tabs>
    </w:pPr>
  </w:style>
  <w:style w:type="character" w:customStyle="1" w:styleId="af4">
    <w:name w:val="Нижний колонтитул Знак"/>
    <w:basedOn w:val="a3"/>
    <w:link w:val="af3"/>
    <w:uiPriority w:val="99"/>
    <w:rsid w:val="00322689"/>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2C1E"/>
    <w:rPr>
      <w:rFonts w:eastAsia="Calibr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AC2C1E"/>
    <w:pPr>
      <w:ind w:left="720"/>
      <w:contextualSpacing/>
    </w:pPr>
  </w:style>
  <w:style w:type="paragraph" w:customStyle="1" w:styleId="a7">
    <w:name w:val="пункты"/>
    <w:basedOn w:val="a8"/>
    <w:rsid w:val="00146E44"/>
    <w:pPr>
      <w:spacing w:before="240" w:after="0"/>
      <w:jc w:val="both"/>
    </w:pPr>
    <w:rPr>
      <w:rFonts w:eastAsia="Times New Roman"/>
      <w:lang w:eastAsia="ru-RU"/>
    </w:rPr>
  </w:style>
  <w:style w:type="paragraph" w:styleId="a8">
    <w:name w:val="Body Text"/>
    <w:basedOn w:val="a2"/>
    <w:rsid w:val="00146E44"/>
    <w:pPr>
      <w:spacing w:after="120"/>
    </w:pPr>
  </w:style>
  <w:style w:type="paragraph" w:customStyle="1" w:styleId="a0">
    <w:name w:val="подпункты"/>
    <w:basedOn w:val="a8"/>
    <w:rsid w:val="00421E3A"/>
    <w:pPr>
      <w:numPr>
        <w:ilvl w:val="1"/>
        <w:numId w:val="2"/>
      </w:numPr>
      <w:spacing w:before="120" w:after="0"/>
      <w:jc w:val="both"/>
    </w:pPr>
    <w:rPr>
      <w:rFonts w:eastAsia="Times New Roman"/>
      <w:lang w:eastAsia="ru-RU"/>
    </w:rPr>
  </w:style>
  <w:style w:type="paragraph" w:customStyle="1" w:styleId="a9">
    <w:name w:val="абзацы"/>
    <w:basedOn w:val="a8"/>
    <w:rsid w:val="00421E3A"/>
    <w:pPr>
      <w:spacing w:before="120" w:after="0"/>
      <w:ind w:left="454" w:firstLine="227"/>
      <w:jc w:val="both"/>
    </w:pPr>
    <w:rPr>
      <w:rFonts w:eastAsia="Times New Roman"/>
      <w:lang w:eastAsia="ru-RU"/>
    </w:rPr>
  </w:style>
  <w:style w:type="paragraph" w:customStyle="1" w:styleId="a">
    <w:name w:val="Параграф"/>
    <w:basedOn w:val="a2"/>
    <w:qFormat/>
    <w:rsid w:val="00795E24"/>
    <w:pPr>
      <w:keepLines/>
      <w:numPr>
        <w:numId w:val="4"/>
      </w:numPr>
      <w:spacing w:before="120"/>
      <w:ind w:left="0" w:firstLine="851"/>
      <w:jc w:val="both"/>
    </w:pPr>
    <w:rPr>
      <w:rFonts w:eastAsia="Times New Roman"/>
      <w:sz w:val="28"/>
      <w:szCs w:val="28"/>
      <w:lang w:eastAsia="ru-RU"/>
    </w:rPr>
  </w:style>
  <w:style w:type="paragraph" w:customStyle="1" w:styleId="a1">
    <w:name w:val="подпункт"/>
    <w:basedOn w:val="a2"/>
    <w:qFormat/>
    <w:rsid w:val="00795E24"/>
    <w:pPr>
      <w:keepLines/>
      <w:numPr>
        <w:numId w:val="5"/>
      </w:numPr>
      <w:autoSpaceDE w:val="0"/>
      <w:autoSpaceDN w:val="0"/>
      <w:adjustRightInd w:val="0"/>
      <w:ind w:left="0" w:firstLine="851"/>
      <w:jc w:val="both"/>
    </w:pPr>
    <w:rPr>
      <w:rFonts w:eastAsia="Times New Roman"/>
      <w:sz w:val="28"/>
      <w:szCs w:val="28"/>
      <w:lang w:eastAsia="ru-RU"/>
    </w:rPr>
  </w:style>
  <w:style w:type="paragraph" w:customStyle="1" w:styleId="aa">
    <w:name w:val="Абзац в параграфе"/>
    <w:basedOn w:val="a2"/>
    <w:next w:val="a"/>
    <w:qFormat/>
    <w:rsid w:val="003C7164"/>
    <w:pPr>
      <w:keepLines/>
      <w:autoSpaceDE w:val="0"/>
      <w:autoSpaceDN w:val="0"/>
      <w:adjustRightInd w:val="0"/>
      <w:ind w:firstLine="851"/>
      <w:jc w:val="both"/>
    </w:pPr>
    <w:rPr>
      <w:rFonts w:eastAsia="Times New Roman"/>
      <w:sz w:val="28"/>
      <w:szCs w:val="28"/>
      <w:lang w:eastAsia="ru-RU"/>
    </w:rPr>
  </w:style>
  <w:style w:type="paragraph" w:customStyle="1" w:styleId="ConsNormal">
    <w:name w:val="ConsNormal"/>
    <w:rsid w:val="00F574E1"/>
    <w:pPr>
      <w:widowControl w:val="0"/>
      <w:autoSpaceDE w:val="0"/>
      <w:autoSpaceDN w:val="0"/>
      <w:adjustRightInd w:val="0"/>
      <w:ind w:right="19772" w:firstLine="720"/>
    </w:pPr>
    <w:rPr>
      <w:rFonts w:ascii="Arial" w:hAnsi="Arial" w:cs="Arial"/>
      <w:sz w:val="24"/>
      <w:szCs w:val="24"/>
    </w:rPr>
  </w:style>
  <w:style w:type="paragraph" w:styleId="ab">
    <w:name w:val="Balloon Text"/>
    <w:basedOn w:val="a2"/>
    <w:link w:val="ac"/>
    <w:rsid w:val="00331FD4"/>
    <w:rPr>
      <w:rFonts w:ascii="Tahoma" w:hAnsi="Tahoma"/>
      <w:sz w:val="16"/>
      <w:szCs w:val="16"/>
    </w:rPr>
  </w:style>
  <w:style w:type="character" w:customStyle="1" w:styleId="ac">
    <w:name w:val="Текст выноски Знак"/>
    <w:link w:val="ab"/>
    <w:rsid w:val="00331FD4"/>
    <w:rPr>
      <w:rFonts w:ascii="Tahoma" w:eastAsia="Calibri" w:hAnsi="Tahoma" w:cs="Tahoma"/>
      <w:sz w:val="16"/>
      <w:szCs w:val="16"/>
      <w:lang w:eastAsia="en-US"/>
    </w:rPr>
  </w:style>
  <w:style w:type="paragraph" w:customStyle="1" w:styleId="21">
    <w:name w:val="Основной текст с отступом 21"/>
    <w:basedOn w:val="a2"/>
    <w:rsid w:val="00AD6C60"/>
    <w:pPr>
      <w:ind w:firstLine="708"/>
      <w:jc w:val="both"/>
    </w:pPr>
    <w:rPr>
      <w:rFonts w:ascii="Arial" w:eastAsia="Times New Roman" w:hAnsi="Arial"/>
      <w:szCs w:val="20"/>
      <w:lang w:eastAsia="ru-RU"/>
    </w:rPr>
  </w:style>
  <w:style w:type="numbering" w:customStyle="1" w:styleId="6">
    <w:name w:val="Стиль6"/>
    <w:rsid w:val="00FB3BB1"/>
    <w:pPr>
      <w:numPr>
        <w:numId w:val="22"/>
      </w:numPr>
    </w:pPr>
  </w:style>
  <w:style w:type="paragraph" w:customStyle="1" w:styleId="ConsPlusNormal">
    <w:name w:val="ConsPlusNormal"/>
    <w:rsid w:val="001D04F6"/>
    <w:pPr>
      <w:autoSpaceDE w:val="0"/>
      <w:autoSpaceDN w:val="0"/>
      <w:adjustRightInd w:val="0"/>
      <w:ind w:firstLine="720"/>
    </w:pPr>
    <w:rPr>
      <w:rFonts w:ascii="Arial" w:hAnsi="Arial" w:cs="Arial"/>
    </w:rPr>
  </w:style>
  <w:style w:type="paragraph" w:styleId="ad">
    <w:name w:val="Subtitle"/>
    <w:basedOn w:val="a2"/>
    <w:next w:val="a2"/>
    <w:link w:val="ae"/>
    <w:uiPriority w:val="99"/>
    <w:qFormat/>
    <w:rsid w:val="006C3777"/>
    <w:pPr>
      <w:keepNext/>
      <w:keepLines/>
      <w:numPr>
        <w:ilvl w:val="1"/>
      </w:numPr>
      <w:spacing w:before="240" w:line="276" w:lineRule="auto"/>
      <w:ind w:firstLine="567"/>
      <w:jc w:val="center"/>
    </w:pPr>
    <w:rPr>
      <w:rFonts w:ascii="Times New Roman Cyr" w:eastAsiaTheme="majorEastAsia" w:hAnsi="Times New Roman Cyr" w:cstheme="majorBidi"/>
      <w:b/>
      <w:iCs/>
      <w:color w:val="006666"/>
      <w:spacing w:val="20"/>
    </w:rPr>
  </w:style>
  <w:style w:type="character" w:customStyle="1" w:styleId="ae">
    <w:name w:val="Подзаголовок Знак"/>
    <w:basedOn w:val="a3"/>
    <w:link w:val="ad"/>
    <w:uiPriority w:val="99"/>
    <w:rsid w:val="006C3777"/>
    <w:rPr>
      <w:rFonts w:ascii="Times New Roman Cyr" w:eastAsiaTheme="majorEastAsia" w:hAnsi="Times New Roman Cyr" w:cstheme="majorBidi"/>
      <w:b/>
      <w:iCs/>
      <w:color w:val="006666"/>
      <w:spacing w:val="20"/>
      <w:sz w:val="24"/>
      <w:szCs w:val="24"/>
      <w:lang w:eastAsia="en-US"/>
    </w:rPr>
  </w:style>
  <w:style w:type="paragraph" w:styleId="af">
    <w:name w:val="Normal (Web)"/>
    <w:basedOn w:val="a2"/>
    <w:uiPriority w:val="99"/>
    <w:semiHidden/>
    <w:unhideWhenUsed/>
    <w:rsid w:val="00214C38"/>
    <w:pPr>
      <w:spacing w:before="100" w:beforeAutospacing="1" w:after="100" w:afterAutospacing="1"/>
    </w:pPr>
    <w:rPr>
      <w:rFonts w:eastAsia="Times New Roman"/>
      <w:lang w:eastAsia="ru-RU"/>
    </w:rPr>
  </w:style>
  <w:style w:type="character" w:styleId="af0">
    <w:name w:val="Hyperlink"/>
    <w:basedOn w:val="a3"/>
    <w:unhideWhenUsed/>
    <w:rsid w:val="00F65FCB"/>
    <w:rPr>
      <w:color w:val="0000FF" w:themeColor="hyperlink"/>
      <w:u w:val="single"/>
    </w:rPr>
  </w:style>
  <w:style w:type="character" w:customStyle="1" w:styleId="UnresolvedMention">
    <w:name w:val="Unresolved Mention"/>
    <w:basedOn w:val="a3"/>
    <w:uiPriority w:val="99"/>
    <w:semiHidden/>
    <w:unhideWhenUsed/>
    <w:rsid w:val="00F65FCB"/>
    <w:rPr>
      <w:color w:val="808080"/>
      <w:shd w:val="clear" w:color="auto" w:fill="E6E6E6"/>
    </w:rPr>
  </w:style>
  <w:style w:type="paragraph" w:styleId="af1">
    <w:name w:val="header"/>
    <w:basedOn w:val="a2"/>
    <w:link w:val="af2"/>
    <w:unhideWhenUsed/>
    <w:rsid w:val="00322689"/>
    <w:pPr>
      <w:tabs>
        <w:tab w:val="center" w:pos="4677"/>
        <w:tab w:val="right" w:pos="9355"/>
      </w:tabs>
    </w:pPr>
  </w:style>
  <w:style w:type="character" w:customStyle="1" w:styleId="af2">
    <w:name w:val="Верхний колонтитул Знак"/>
    <w:basedOn w:val="a3"/>
    <w:link w:val="af1"/>
    <w:rsid w:val="00322689"/>
    <w:rPr>
      <w:rFonts w:eastAsia="Calibri"/>
      <w:sz w:val="24"/>
      <w:szCs w:val="24"/>
      <w:lang w:eastAsia="en-US"/>
    </w:rPr>
  </w:style>
  <w:style w:type="paragraph" w:styleId="af3">
    <w:name w:val="footer"/>
    <w:basedOn w:val="a2"/>
    <w:link w:val="af4"/>
    <w:uiPriority w:val="99"/>
    <w:unhideWhenUsed/>
    <w:rsid w:val="00322689"/>
    <w:pPr>
      <w:tabs>
        <w:tab w:val="center" w:pos="4677"/>
        <w:tab w:val="right" w:pos="9355"/>
      </w:tabs>
    </w:pPr>
  </w:style>
  <w:style w:type="character" w:customStyle="1" w:styleId="af4">
    <w:name w:val="Нижний колонтитул Знак"/>
    <w:basedOn w:val="a3"/>
    <w:link w:val="af3"/>
    <w:uiPriority w:val="99"/>
    <w:rsid w:val="00322689"/>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590958">
      <w:bodyDiv w:val="1"/>
      <w:marLeft w:val="0"/>
      <w:marRight w:val="0"/>
      <w:marTop w:val="0"/>
      <w:marBottom w:val="0"/>
      <w:divBdr>
        <w:top w:val="none" w:sz="0" w:space="0" w:color="auto"/>
        <w:left w:val="none" w:sz="0" w:space="0" w:color="auto"/>
        <w:bottom w:val="none" w:sz="0" w:space="0" w:color="auto"/>
        <w:right w:val="none" w:sz="0" w:space="0" w:color="auto"/>
      </w:divBdr>
    </w:div>
    <w:div w:id="155343985">
      <w:bodyDiv w:val="1"/>
      <w:marLeft w:val="0"/>
      <w:marRight w:val="0"/>
      <w:marTop w:val="0"/>
      <w:marBottom w:val="0"/>
      <w:divBdr>
        <w:top w:val="none" w:sz="0" w:space="0" w:color="auto"/>
        <w:left w:val="none" w:sz="0" w:space="0" w:color="auto"/>
        <w:bottom w:val="none" w:sz="0" w:space="0" w:color="auto"/>
        <w:right w:val="none" w:sz="0" w:space="0" w:color="auto"/>
      </w:divBdr>
    </w:div>
    <w:div w:id="163522078">
      <w:bodyDiv w:val="1"/>
      <w:marLeft w:val="0"/>
      <w:marRight w:val="0"/>
      <w:marTop w:val="0"/>
      <w:marBottom w:val="0"/>
      <w:divBdr>
        <w:top w:val="none" w:sz="0" w:space="0" w:color="auto"/>
        <w:left w:val="none" w:sz="0" w:space="0" w:color="auto"/>
        <w:bottom w:val="none" w:sz="0" w:space="0" w:color="auto"/>
        <w:right w:val="none" w:sz="0" w:space="0" w:color="auto"/>
      </w:divBdr>
    </w:div>
    <w:div w:id="174271540">
      <w:bodyDiv w:val="1"/>
      <w:marLeft w:val="0"/>
      <w:marRight w:val="0"/>
      <w:marTop w:val="0"/>
      <w:marBottom w:val="0"/>
      <w:divBdr>
        <w:top w:val="none" w:sz="0" w:space="0" w:color="auto"/>
        <w:left w:val="none" w:sz="0" w:space="0" w:color="auto"/>
        <w:bottom w:val="none" w:sz="0" w:space="0" w:color="auto"/>
        <w:right w:val="none" w:sz="0" w:space="0" w:color="auto"/>
      </w:divBdr>
    </w:div>
    <w:div w:id="191185537">
      <w:bodyDiv w:val="1"/>
      <w:marLeft w:val="0"/>
      <w:marRight w:val="0"/>
      <w:marTop w:val="0"/>
      <w:marBottom w:val="0"/>
      <w:divBdr>
        <w:top w:val="none" w:sz="0" w:space="0" w:color="auto"/>
        <w:left w:val="none" w:sz="0" w:space="0" w:color="auto"/>
        <w:bottom w:val="none" w:sz="0" w:space="0" w:color="auto"/>
        <w:right w:val="none" w:sz="0" w:space="0" w:color="auto"/>
      </w:divBdr>
      <w:divsChild>
        <w:div w:id="277687940">
          <w:marLeft w:val="0"/>
          <w:marRight w:val="0"/>
          <w:marTop w:val="0"/>
          <w:marBottom w:val="0"/>
          <w:divBdr>
            <w:top w:val="none" w:sz="0" w:space="0" w:color="auto"/>
            <w:left w:val="none" w:sz="0" w:space="0" w:color="auto"/>
            <w:bottom w:val="none" w:sz="0" w:space="0" w:color="auto"/>
            <w:right w:val="none" w:sz="0" w:space="0" w:color="auto"/>
          </w:divBdr>
          <w:divsChild>
            <w:div w:id="1793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369">
      <w:bodyDiv w:val="1"/>
      <w:marLeft w:val="0"/>
      <w:marRight w:val="0"/>
      <w:marTop w:val="0"/>
      <w:marBottom w:val="0"/>
      <w:divBdr>
        <w:top w:val="none" w:sz="0" w:space="0" w:color="auto"/>
        <w:left w:val="none" w:sz="0" w:space="0" w:color="auto"/>
        <w:bottom w:val="none" w:sz="0" w:space="0" w:color="auto"/>
        <w:right w:val="none" w:sz="0" w:space="0" w:color="auto"/>
      </w:divBdr>
    </w:div>
    <w:div w:id="379746872">
      <w:bodyDiv w:val="1"/>
      <w:marLeft w:val="0"/>
      <w:marRight w:val="0"/>
      <w:marTop w:val="0"/>
      <w:marBottom w:val="0"/>
      <w:divBdr>
        <w:top w:val="none" w:sz="0" w:space="0" w:color="auto"/>
        <w:left w:val="none" w:sz="0" w:space="0" w:color="auto"/>
        <w:bottom w:val="none" w:sz="0" w:space="0" w:color="auto"/>
        <w:right w:val="none" w:sz="0" w:space="0" w:color="auto"/>
      </w:divBdr>
    </w:div>
    <w:div w:id="437288218">
      <w:bodyDiv w:val="1"/>
      <w:marLeft w:val="0"/>
      <w:marRight w:val="0"/>
      <w:marTop w:val="0"/>
      <w:marBottom w:val="0"/>
      <w:divBdr>
        <w:top w:val="none" w:sz="0" w:space="0" w:color="auto"/>
        <w:left w:val="none" w:sz="0" w:space="0" w:color="auto"/>
        <w:bottom w:val="none" w:sz="0" w:space="0" w:color="auto"/>
        <w:right w:val="none" w:sz="0" w:space="0" w:color="auto"/>
      </w:divBdr>
    </w:div>
    <w:div w:id="460732152">
      <w:bodyDiv w:val="1"/>
      <w:marLeft w:val="0"/>
      <w:marRight w:val="0"/>
      <w:marTop w:val="0"/>
      <w:marBottom w:val="0"/>
      <w:divBdr>
        <w:top w:val="none" w:sz="0" w:space="0" w:color="auto"/>
        <w:left w:val="none" w:sz="0" w:space="0" w:color="auto"/>
        <w:bottom w:val="none" w:sz="0" w:space="0" w:color="auto"/>
        <w:right w:val="none" w:sz="0" w:space="0" w:color="auto"/>
      </w:divBdr>
    </w:div>
    <w:div w:id="588201027">
      <w:bodyDiv w:val="1"/>
      <w:marLeft w:val="0"/>
      <w:marRight w:val="0"/>
      <w:marTop w:val="0"/>
      <w:marBottom w:val="0"/>
      <w:divBdr>
        <w:top w:val="none" w:sz="0" w:space="0" w:color="auto"/>
        <w:left w:val="none" w:sz="0" w:space="0" w:color="auto"/>
        <w:bottom w:val="none" w:sz="0" w:space="0" w:color="auto"/>
        <w:right w:val="none" w:sz="0" w:space="0" w:color="auto"/>
      </w:divBdr>
    </w:div>
    <w:div w:id="589855765">
      <w:bodyDiv w:val="1"/>
      <w:marLeft w:val="0"/>
      <w:marRight w:val="0"/>
      <w:marTop w:val="0"/>
      <w:marBottom w:val="0"/>
      <w:divBdr>
        <w:top w:val="none" w:sz="0" w:space="0" w:color="auto"/>
        <w:left w:val="none" w:sz="0" w:space="0" w:color="auto"/>
        <w:bottom w:val="none" w:sz="0" w:space="0" w:color="auto"/>
        <w:right w:val="none" w:sz="0" w:space="0" w:color="auto"/>
      </w:divBdr>
    </w:div>
    <w:div w:id="720784354">
      <w:bodyDiv w:val="1"/>
      <w:marLeft w:val="0"/>
      <w:marRight w:val="0"/>
      <w:marTop w:val="0"/>
      <w:marBottom w:val="0"/>
      <w:divBdr>
        <w:top w:val="none" w:sz="0" w:space="0" w:color="auto"/>
        <w:left w:val="none" w:sz="0" w:space="0" w:color="auto"/>
        <w:bottom w:val="none" w:sz="0" w:space="0" w:color="auto"/>
        <w:right w:val="none" w:sz="0" w:space="0" w:color="auto"/>
      </w:divBdr>
    </w:div>
    <w:div w:id="728505478">
      <w:bodyDiv w:val="1"/>
      <w:marLeft w:val="0"/>
      <w:marRight w:val="0"/>
      <w:marTop w:val="0"/>
      <w:marBottom w:val="0"/>
      <w:divBdr>
        <w:top w:val="none" w:sz="0" w:space="0" w:color="auto"/>
        <w:left w:val="none" w:sz="0" w:space="0" w:color="auto"/>
        <w:bottom w:val="none" w:sz="0" w:space="0" w:color="auto"/>
        <w:right w:val="none" w:sz="0" w:space="0" w:color="auto"/>
      </w:divBdr>
    </w:div>
    <w:div w:id="736241392">
      <w:bodyDiv w:val="1"/>
      <w:marLeft w:val="0"/>
      <w:marRight w:val="0"/>
      <w:marTop w:val="0"/>
      <w:marBottom w:val="0"/>
      <w:divBdr>
        <w:top w:val="none" w:sz="0" w:space="0" w:color="auto"/>
        <w:left w:val="none" w:sz="0" w:space="0" w:color="auto"/>
        <w:bottom w:val="none" w:sz="0" w:space="0" w:color="auto"/>
        <w:right w:val="none" w:sz="0" w:space="0" w:color="auto"/>
      </w:divBdr>
    </w:div>
    <w:div w:id="739255269">
      <w:bodyDiv w:val="1"/>
      <w:marLeft w:val="0"/>
      <w:marRight w:val="0"/>
      <w:marTop w:val="0"/>
      <w:marBottom w:val="0"/>
      <w:divBdr>
        <w:top w:val="none" w:sz="0" w:space="0" w:color="auto"/>
        <w:left w:val="none" w:sz="0" w:space="0" w:color="auto"/>
        <w:bottom w:val="none" w:sz="0" w:space="0" w:color="auto"/>
        <w:right w:val="none" w:sz="0" w:space="0" w:color="auto"/>
      </w:divBdr>
    </w:div>
    <w:div w:id="761490330">
      <w:bodyDiv w:val="1"/>
      <w:marLeft w:val="0"/>
      <w:marRight w:val="0"/>
      <w:marTop w:val="0"/>
      <w:marBottom w:val="0"/>
      <w:divBdr>
        <w:top w:val="none" w:sz="0" w:space="0" w:color="auto"/>
        <w:left w:val="none" w:sz="0" w:space="0" w:color="auto"/>
        <w:bottom w:val="none" w:sz="0" w:space="0" w:color="auto"/>
        <w:right w:val="none" w:sz="0" w:space="0" w:color="auto"/>
      </w:divBdr>
    </w:div>
    <w:div w:id="765421353">
      <w:bodyDiv w:val="1"/>
      <w:marLeft w:val="0"/>
      <w:marRight w:val="0"/>
      <w:marTop w:val="0"/>
      <w:marBottom w:val="0"/>
      <w:divBdr>
        <w:top w:val="none" w:sz="0" w:space="0" w:color="auto"/>
        <w:left w:val="none" w:sz="0" w:space="0" w:color="auto"/>
        <w:bottom w:val="none" w:sz="0" w:space="0" w:color="auto"/>
        <w:right w:val="none" w:sz="0" w:space="0" w:color="auto"/>
      </w:divBdr>
    </w:div>
    <w:div w:id="878737490">
      <w:bodyDiv w:val="1"/>
      <w:marLeft w:val="0"/>
      <w:marRight w:val="0"/>
      <w:marTop w:val="0"/>
      <w:marBottom w:val="0"/>
      <w:divBdr>
        <w:top w:val="none" w:sz="0" w:space="0" w:color="auto"/>
        <w:left w:val="none" w:sz="0" w:space="0" w:color="auto"/>
        <w:bottom w:val="none" w:sz="0" w:space="0" w:color="auto"/>
        <w:right w:val="none" w:sz="0" w:space="0" w:color="auto"/>
      </w:divBdr>
    </w:div>
    <w:div w:id="897672896">
      <w:bodyDiv w:val="1"/>
      <w:marLeft w:val="0"/>
      <w:marRight w:val="0"/>
      <w:marTop w:val="0"/>
      <w:marBottom w:val="0"/>
      <w:divBdr>
        <w:top w:val="none" w:sz="0" w:space="0" w:color="auto"/>
        <w:left w:val="none" w:sz="0" w:space="0" w:color="auto"/>
        <w:bottom w:val="none" w:sz="0" w:space="0" w:color="auto"/>
        <w:right w:val="none" w:sz="0" w:space="0" w:color="auto"/>
      </w:divBdr>
    </w:div>
    <w:div w:id="914896901">
      <w:bodyDiv w:val="1"/>
      <w:marLeft w:val="0"/>
      <w:marRight w:val="0"/>
      <w:marTop w:val="0"/>
      <w:marBottom w:val="0"/>
      <w:divBdr>
        <w:top w:val="none" w:sz="0" w:space="0" w:color="auto"/>
        <w:left w:val="none" w:sz="0" w:space="0" w:color="auto"/>
        <w:bottom w:val="none" w:sz="0" w:space="0" w:color="auto"/>
        <w:right w:val="none" w:sz="0" w:space="0" w:color="auto"/>
      </w:divBdr>
    </w:div>
    <w:div w:id="1031415605">
      <w:bodyDiv w:val="1"/>
      <w:marLeft w:val="0"/>
      <w:marRight w:val="0"/>
      <w:marTop w:val="0"/>
      <w:marBottom w:val="0"/>
      <w:divBdr>
        <w:top w:val="none" w:sz="0" w:space="0" w:color="auto"/>
        <w:left w:val="none" w:sz="0" w:space="0" w:color="auto"/>
        <w:bottom w:val="none" w:sz="0" w:space="0" w:color="auto"/>
        <w:right w:val="none" w:sz="0" w:space="0" w:color="auto"/>
      </w:divBdr>
    </w:div>
    <w:div w:id="1075586214">
      <w:bodyDiv w:val="1"/>
      <w:marLeft w:val="0"/>
      <w:marRight w:val="0"/>
      <w:marTop w:val="0"/>
      <w:marBottom w:val="0"/>
      <w:divBdr>
        <w:top w:val="none" w:sz="0" w:space="0" w:color="auto"/>
        <w:left w:val="none" w:sz="0" w:space="0" w:color="auto"/>
        <w:bottom w:val="none" w:sz="0" w:space="0" w:color="auto"/>
        <w:right w:val="none" w:sz="0" w:space="0" w:color="auto"/>
      </w:divBdr>
    </w:div>
    <w:div w:id="1101142250">
      <w:bodyDiv w:val="1"/>
      <w:marLeft w:val="0"/>
      <w:marRight w:val="0"/>
      <w:marTop w:val="0"/>
      <w:marBottom w:val="0"/>
      <w:divBdr>
        <w:top w:val="none" w:sz="0" w:space="0" w:color="auto"/>
        <w:left w:val="none" w:sz="0" w:space="0" w:color="auto"/>
        <w:bottom w:val="none" w:sz="0" w:space="0" w:color="auto"/>
        <w:right w:val="none" w:sz="0" w:space="0" w:color="auto"/>
      </w:divBdr>
    </w:div>
    <w:div w:id="1178009681">
      <w:bodyDiv w:val="1"/>
      <w:marLeft w:val="0"/>
      <w:marRight w:val="0"/>
      <w:marTop w:val="0"/>
      <w:marBottom w:val="0"/>
      <w:divBdr>
        <w:top w:val="none" w:sz="0" w:space="0" w:color="auto"/>
        <w:left w:val="none" w:sz="0" w:space="0" w:color="auto"/>
        <w:bottom w:val="none" w:sz="0" w:space="0" w:color="auto"/>
        <w:right w:val="none" w:sz="0" w:space="0" w:color="auto"/>
      </w:divBdr>
    </w:div>
    <w:div w:id="1212496356">
      <w:bodyDiv w:val="1"/>
      <w:marLeft w:val="0"/>
      <w:marRight w:val="0"/>
      <w:marTop w:val="0"/>
      <w:marBottom w:val="0"/>
      <w:divBdr>
        <w:top w:val="none" w:sz="0" w:space="0" w:color="auto"/>
        <w:left w:val="none" w:sz="0" w:space="0" w:color="auto"/>
        <w:bottom w:val="none" w:sz="0" w:space="0" w:color="auto"/>
        <w:right w:val="none" w:sz="0" w:space="0" w:color="auto"/>
      </w:divBdr>
    </w:div>
    <w:div w:id="1368751217">
      <w:bodyDiv w:val="1"/>
      <w:marLeft w:val="0"/>
      <w:marRight w:val="0"/>
      <w:marTop w:val="0"/>
      <w:marBottom w:val="0"/>
      <w:divBdr>
        <w:top w:val="none" w:sz="0" w:space="0" w:color="auto"/>
        <w:left w:val="none" w:sz="0" w:space="0" w:color="auto"/>
        <w:bottom w:val="none" w:sz="0" w:space="0" w:color="auto"/>
        <w:right w:val="none" w:sz="0" w:space="0" w:color="auto"/>
      </w:divBdr>
    </w:div>
    <w:div w:id="1406755455">
      <w:bodyDiv w:val="1"/>
      <w:marLeft w:val="0"/>
      <w:marRight w:val="0"/>
      <w:marTop w:val="0"/>
      <w:marBottom w:val="0"/>
      <w:divBdr>
        <w:top w:val="none" w:sz="0" w:space="0" w:color="auto"/>
        <w:left w:val="none" w:sz="0" w:space="0" w:color="auto"/>
        <w:bottom w:val="none" w:sz="0" w:space="0" w:color="auto"/>
        <w:right w:val="none" w:sz="0" w:space="0" w:color="auto"/>
      </w:divBdr>
    </w:div>
    <w:div w:id="1427845933">
      <w:bodyDiv w:val="1"/>
      <w:marLeft w:val="0"/>
      <w:marRight w:val="0"/>
      <w:marTop w:val="0"/>
      <w:marBottom w:val="0"/>
      <w:divBdr>
        <w:top w:val="none" w:sz="0" w:space="0" w:color="auto"/>
        <w:left w:val="none" w:sz="0" w:space="0" w:color="auto"/>
        <w:bottom w:val="none" w:sz="0" w:space="0" w:color="auto"/>
        <w:right w:val="none" w:sz="0" w:space="0" w:color="auto"/>
      </w:divBdr>
    </w:div>
    <w:div w:id="1428384423">
      <w:bodyDiv w:val="1"/>
      <w:marLeft w:val="0"/>
      <w:marRight w:val="0"/>
      <w:marTop w:val="0"/>
      <w:marBottom w:val="0"/>
      <w:divBdr>
        <w:top w:val="none" w:sz="0" w:space="0" w:color="auto"/>
        <w:left w:val="none" w:sz="0" w:space="0" w:color="auto"/>
        <w:bottom w:val="none" w:sz="0" w:space="0" w:color="auto"/>
        <w:right w:val="none" w:sz="0" w:space="0" w:color="auto"/>
      </w:divBdr>
    </w:div>
    <w:div w:id="1459379093">
      <w:bodyDiv w:val="1"/>
      <w:marLeft w:val="0"/>
      <w:marRight w:val="0"/>
      <w:marTop w:val="0"/>
      <w:marBottom w:val="0"/>
      <w:divBdr>
        <w:top w:val="none" w:sz="0" w:space="0" w:color="auto"/>
        <w:left w:val="none" w:sz="0" w:space="0" w:color="auto"/>
        <w:bottom w:val="none" w:sz="0" w:space="0" w:color="auto"/>
        <w:right w:val="none" w:sz="0" w:space="0" w:color="auto"/>
      </w:divBdr>
    </w:div>
    <w:div w:id="1490093183">
      <w:bodyDiv w:val="1"/>
      <w:marLeft w:val="0"/>
      <w:marRight w:val="0"/>
      <w:marTop w:val="0"/>
      <w:marBottom w:val="0"/>
      <w:divBdr>
        <w:top w:val="none" w:sz="0" w:space="0" w:color="auto"/>
        <w:left w:val="none" w:sz="0" w:space="0" w:color="auto"/>
        <w:bottom w:val="none" w:sz="0" w:space="0" w:color="auto"/>
        <w:right w:val="none" w:sz="0" w:space="0" w:color="auto"/>
      </w:divBdr>
    </w:div>
    <w:div w:id="1498350425">
      <w:bodyDiv w:val="1"/>
      <w:marLeft w:val="0"/>
      <w:marRight w:val="0"/>
      <w:marTop w:val="0"/>
      <w:marBottom w:val="0"/>
      <w:divBdr>
        <w:top w:val="none" w:sz="0" w:space="0" w:color="auto"/>
        <w:left w:val="none" w:sz="0" w:space="0" w:color="auto"/>
        <w:bottom w:val="none" w:sz="0" w:space="0" w:color="auto"/>
        <w:right w:val="none" w:sz="0" w:space="0" w:color="auto"/>
      </w:divBdr>
    </w:div>
    <w:div w:id="1503355128">
      <w:bodyDiv w:val="1"/>
      <w:marLeft w:val="0"/>
      <w:marRight w:val="0"/>
      <w:marTop w:val="0"/>
      <w:marBottom w:val="0"/>
      <w:divBdr>
        <w:top w:val="none" w:sz="0" w:space="0" w:color="auto"/>
        <w:left w:val="none" w:sz="0" w:space="0" w:color="auto"/>
        <w:bottom w:val="none" w:sz="0" w:space="0" w:color="auto"/>
        <w:right w:val="none" w:sz="0" w:space="0" w:color="auto"/>
      </w:divBdr>
    </w:div>
    <w:div w:id="1551529229">
      <w:bodyDiv w:val="1"/>
      <w:marLeft w:val="0"/>
      <w:marRight w:val="0"/>
      <w:marTop w:val="0"/>
      <w:marBottom w:val="0"/>
      <w:divBdr>
        <w:top w:val="none" w:sz="0" w:space="0" w:color="auto"/>
        <w:left w:val="none" w:sz="0" w:space="0" w:color="auto"/>
        <w:bottom w:val="none" w:sz="0" w:space="0" w:color="auto"/>
        <w:right w:val="none" w:sz="0" w:space="0" w:color="auto"/>
      </w:divBdr>
      <w:divsChild>
        <w:div w:id="1029332544">
          <w:marLeft w:val="0"/>
          <w:marRight w:val="0"/>
          <w:marTop w:val="0"/>
          <w:marBottom w:val="0"/>
          <w:divBdr>
            <w:top w:val="none" w:sz="0" w:space="0" w:color="auto"/>
            <w:left w:val="none" w:sz="0" w:space="0" w:color="auto"/>
            <w:bottom w:val="none" w:sz="0" w:space="0" w:color="auto"/>
            <w:right w:val="none" w:sz="0" w:space="0" w:color="auto"/>
          </w:divBdr>
          <w:divsChild>
            <w:div w:id="627974108">
              <w:marLeft w:val="0"/>
              <w:marRight w:val="100"/>
              <w:marTop w:val="100"/>
              <w:marBottom w:val="100"/>
              <w:divBdr>
                <w:top w:val="none" w:sz="0" w:space="0" w:color="auto"/>
                <w:left w:val="none" w:sz="0" w:space="0" w:color="auto"/>
                <w:bottom w:val="none" w:sz="0" w:space="0" w:color="auto"/>
                <w:right w:val="none" w:sz="0" w:space="0" w:color="auto"/>
              </w:divBdr>
              <w:divsChild>
                <w:div w:id="1431242253">
                  <w:marLeft w:val="0"/>
                  <w:marRight w:val="0"/>
                  <w:marTop w:val="0"/>
                  <w:marBottom w:val="0"/>
                  <w:divBdr>
                    <w:top w:val="none" w:sz="0" w:space="0" w:color="auto"/>
                    <w:left w:val="none" w:sz="0" w:space="0" w:color="auto"/>
                    <w:bottom w:val="none" w:sz="0" w:space="0" w:color="auto"/>
                    <w:right w:val="none" w:sz="0" w:space="0" w:color="auto"/>
                  </w:divBdr>
                  <w:divsChild>
                    <w:div w:id="122310483">
                      <w:marLeft w:val="0"/>
                      <w:marRight w:val="0"/>
                      <w:marTop w:val="0"/>
                      <w:marBottom w:val="0"/>
                      <w:divBdr>
                        <w:top w:val="none" w:sz="0" w:space="0" w:color="auto"/>
                        <w:left w:val="none" w:sz="0" w:space="0" w:color="auto"/>
                        <w:bottom w:val="none" w:sz="0" w:space="0" w:color="auto"/>
                        <w:right w:val="none" w:sz="0" w:space="0" w:color="auto"/>
                      </w:divBdr>
                      <w:divsChild>
                        <w:div w:id="262148738">
                          <w:marLeft w:val="0"/>
                          <w:marRight w:val="0"/>
                          <w:marTop w:val="200"/>
                          <w:marBottom w:val="0"/>
                          <w:divBdr>
                            <w:top w:val="none" w:sz="0" w:space="0" w:color="auto"/>
                            <w:left w:val="none" w:sz="0" w:space="0" w:color="auto"/>
                            <w:bottom w:val="none" w:sz="0" w:space="0" w:color="auto"/>
                            <w:right w:val="none" w:sz="0" w:space="0" w:color="auto"/>
                          </w:divBdr>
                          <w:divsChild>
                            <w:div w:id="1640190385">
                              <w:marLeft w:val="0"/>
                              <w:marRight w:val="0"/>
                              <w:marTop w:val="0"/>
                              <w:marBottom w:val="0"/>
                              <w:divBdr>
                                <w:top w:val="none" w:sz="0" w:space="0" w:color="auto"/>
                                <w:left w:val="none" w:sz="0" w:space="0" w:color="auto"/>
                                <w:bottom w:val="none" w:sz="0" w:space="0" w:color="auto"/>
                                <w:right w:val="none" w:sz="0" w:space="0" w:color="auto"/>
                              </w:divBdr>
                              <w:divsChild>
                                <w:div w:id="10986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1107">
      <w:bodyDiv w:val="1"/>
      <w:marLeft w:val="0"/>
      <w:marRight w:val="0"/>
      <w:marTop w:val="0"/>
      <w:marBottom w:val="0"/>
      <w:divBdr>
        <w:top w:val="none" w:sz="0" w:space="0" w:color="auto"/>
        <w:left w:val="none" w:sz="0" w:space="0" w:color="auto"/>
        <w:bottom w:val="none" w:sz="0" w:space="0" w:color="auto"/>
        <w:right w:val="none" w:sz="0" w:space="0" w:color="auto"/>
      </w:divBdr>
    </w:div>
    <w:div w:id="1607541281">
      <w:bodyDiv w:val="1"/>
      <w:marLeft w:val="0"/>
      <w:marRight w:val="0"/>
      <w:marTop w:val="0"/>
      <w:marBottom w:val="0"/>
      <w:divBdr>
        <w:top w:val="none" w:sz="0" w:space="0" w:color="auto"/>
        <w:left w:val="none" w:sz="0" w:space="0" w:color="auto"/>
        <w:bottom w:val="none" w:sz="0" w:space="0" w:color="auto"/>
        <w:right w:val="none" w:sz="0" w:space="0" w:color="auto"/>
      </w:divBdr>
    </w:div>
    <w:div w:id="1637829563">
      <w:bodyDiv w:val="1"/>
      <w:marLeft w:val="0"/>
      <w:marRight w:val="0"/>
      <w:marTop w:val="0"/>
      <w:marBottom w:val="0"/>
      <w:divBdr>
        <w:top w:val="none" w:sz="0" w:space="0" w:color="auto"/>
        <w:left w:val="none" w:sz="0" w:space="0" w:color="auto"/>
        <w:bottom w:val="none" w:sz="0" w:space="0" w:color="auto"/>
        <w:right w:val="none" w:sz="0" w:space="0" w:color="auto"/>
      </w:divBdr>
    </w:div>
    <w:div w:id="1695185817">
      <w:bodyDiv w:val="1"/>
      <w:marLeft w:val="0"/>
      <w:marRight w:val="0"/>
      <w:marTop w:val="0"/>
      <w:marBottom w:val="0"/>
      <w:divBdr>
        <w:top w:val="none" w:sz="0" w:space="0" w:color="auto"/>
        <w:left w:val="none" w:sz="0" w:space="0" w:color="auto"/>
        <w:bottom w:val="none" w:sz="0" w:space="0" w:color="auto"/>
        <w:right w:val="none" w:sz="0" w:space="0" w:color="auto"/>
      </w:divBdr>
    </w:div>
    <w:div w:id="1716612886">
      <w:bodyDiv w:val="1"/>
      <w:marLeft w:val="0"/>
      <w:marRight w:val="0"/>
      <w:marTop w:val="0"/>
      <w:marBottom w:val="0"/>
      <w:divBdr>
        <w:top w:val="none" w:sz="0" w:space="0" w:color="auto"/>
        <w:left w:val="none" w:sz="0" w:space="0" w:color="auto"/>
        <w:bottom w:val="none" w:sz="0" w:space="0" w:color="auto"/>
        <w:right w:val="none" w:sz="0" w:space="0" w:color="auto"/>
      </w:divBdr>
    </w:div>
    <w:div w:id="1767919100">
      <w:bodyDiv w:val="1"/>
      <w:marLeft w:val="0"/>
      <w:marRight w:val="0"/>
      <w:marTop w:val="0"/>
      <w:marBottom w:val="0"/>
      <w:divBdr>
        <w:top w:val="none" w:sz="0" w:space="0" w:color="auto"/>
        <w:left w:val="none" w:sz="0" w:space="0" w:color="auto"/>
        <w:bottom w:val="none" w:sz="0" w:space="0" w:color="auto"/>
        <w:right w:val="none" w:sz="0" w:space="0" w:color="auto"/>
      </w:divBdr>
    </w:div>
    <w:div w:id="1805004184">
      <w:bodyDiv w:val="1"/>
      <w:marLeft w:val="0"/>
      <w:marRight w:val="0"/>
      <w:marTop w:val="0"/>
      <w:marBottom w:val="0"/>
      <w:divBdr>
        <w:top w:val="none" w:sz="0" w:space="0" w:color="auto"/>
        <w:left w:val="none" w:sz="0" w:space="0" w:color="auto"/>
        <w:bottom w:val="none" w:sz="0" w:space="0" w:color="auto"/>
        <w:right w:val="none" w:sz="0" w:space="0" w:color="auto"/>
      </w:divBdr>
    </w:div>
    <w:div w:id="1819807704">
      <w:bodyDiv w:val="1"/>
      <w:marLeft w:val="0"/>
      <w:marRight w:val="0"/>
      <w:marTop w:val="0"/>
      <w:marBottom w:val="0"/>
      <w:divBdr>
        <w:top w:val="none" w:sz="0" w:space="0" w:color="auto"/>
        <w:left w:val="none" w:sz="0" w:space="0" w:color="auto"/>
        <w:bottom w:val="none" w:sz="0" w:space="0" w:color="auto"/>
        <w:right w:val="none" w:sz="0" w:space="0" w:color="auto"/>
      </w:divBdr>
    </w:div>
    <w:div w:id="1845436702">
      <w:bodyDiv w:val="1"/>
      <w:marLeft w:val="0"/>
      <w:marRight w:val="0"/>
      <w:marTop w:val="0"/>
      <w:marBottom w:val="0"/>
      <w:divBdr>
        <w:top w:val="none" w:sz="0" w:space="0" w:color="auto"/>
        <w:left w:val="none" w:sz="0" w:space="0" w:color="auto"/>
        <w:bottom w:val="none" w:sz="0" w:space="0" w:color="auto"/>
        <w:right w:val="none" w:sz="0" w:space="0" w:color="auto"/>
      </w:divBdr>
    </w:div>
    <w:div w:id="1929149139">
      <w:bodyDiv w:val="1"/>
      <w:marLeft w:val="0"/>
      <w:marRight w:val="0"/>
      <w:marTop w:val="0"/>
      <w:marBottom w:val="0"/>
      <w:divBdr>
        <w:top w:val="none" w:sz="0" w:space="0" w:color="auto"/>
        <w:left w:val="none" w:sz="0" w:space="0" w:color="auto"/>
        <w:bottom w:val="none" w:sz="0" w:space="0" w:color="auto"/>
        <w:right w:val="none" w:sz="0" w:space="0" w:color="auto"/>
      </w:divBdr>
    </w:div>
    <w:div w:id="1995720466">
      <w:bodyDiv w:val="1"/>
      <w:marLeft w:val="0"/>
      <w:marRight w:val="0"/>
      <w:marTop w:val="0"/>
      <w:marBottom w:val="0"/>
      <w:divBdr>
        <w:top w:val="none" w:sz="0" w:space="0" w:color="auto"/>
        <w:left w:val="none" w:sz="0" w:space="0" w:color="auto"/>
        <w:bottom w:val="none" w:sz="0" w:space="0" w:color="auto"/>
        <w:right w:val="none" w:sz="0" w:space="0" w:color="auto"/>
      </w:divBdr>
    </w:div>
    <w:div w:id="2037341741">
      <w:bodyDiv w:val="1"/>
      <w:marLeft w:val="0"/>
      <w:marRight w:val="0"/>
      <w:marTop w:val="0"/>
      <w:marBottom w:val="0"/>
      <w:divBdr>
        <w:top w:val="none" w:sz="0" w:space="0" w:color="auto"/>
        <w:left w:val="none" w:sz="0" w:space="0" w:color="auto"/>
        <w:bottom w:val="none" w:sz="0" w:space="0" w:color="auto"/>
        <w:right w:val="none" w:sz="0" w:space="0" w:color="auto"/>
      </w:divBdr>
    </w:div>
    <w:div w:id="2099984555">
      <w:bodyDiv w:val="1"/>
      <w:marLeft w:val="0"/>
      <w:marRight w:val="0"/>
      <w:marTop w:val="0"/>
      <w:marBottom w:val="0"/>
      <w:divBdr>
        <w:top w:val="none" w:sz="0" w:space="0" w:color="auto"/>
        <w:left w:val="none" w:sz="0" w:space="0" w:color="auto"/>
        <w:bottom w:val="none" w:sz="0" w:space="0" w:color="auto"/>
        <w:right w:val="none" w:sz="0" w:space="0" w:color="auto"/>
      </w:divBdr>
    </w:div>
    <w:div w:id="2118058179">
      <w:bodyDiv w:val="1"/>
      <w:marLeft w:val="0"/>
      <w:marRight w:val="0"/>
      <w:marTop w:val="0"/>
      <w:marBottom w:val="0"/>
      <w:divBdr>
        <w:top w:val="none" w:sz="0" w:space="0" w:color="auto"/>
        <w:left w:val="none" w:sz="0" w:space="0" w:color="auto"/>
        <w:bottom w:val="none" w:sz="0" w:space="0" w:color="auto"/>
        <w:right w:val="none" w:sz="0" w:space="0" w:color="auto"/>
      </w:divBdr>
    </w:div>
    <w:div w:id="2119256116">
      <w:bodyDiv w:val="1"/>
      <w:marLeft w:val="0"/>
      <w:marRight w:val="0"/>
      <w:marTop w:val="0"/>
      <w:marBottom w:val="0"/>
      <w:divBdr>
        <w:top w:val="none" w:sz="0" w:space="0" w:color="auto"/>
        <w:left w:val="none" w:sz="0" w:space="0" w:color="auto"/>
        <w:bottom w:val="none" w:sz="0" w:space="0" w:color="auto"/>
        <w:right w:val="none" w:sz="0" w:space="0" w:color="auto"/>
      </w:divBdr>
    </w:div>
    <w:div w:id="21386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07504"/>
    <w:rsid w:val="00B07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9598A989B649A6ADC66E6CB91B8DD2">
    <w:name w:val="0B9598A989B649A6ADC66E6CB91B8DD2"/>
    <w:rsid w:val="00B075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C95D-3C1F-4151-A185-5A8DE3DE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2027</Words>
  <Characters>13970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п</vt:lpstr>
    </vt:vector>
  </TitlesOfParts>
  <Company>ОАО СНГ</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dc:title>
  <dc:creator>Пользователь</dc:creator>
  <cp:lastModifiedBy>Наталья</cp:lastModifiedBy>
  <cp:revision>80</cp:revision>
  <cp:lastPrinted>2017-07-25T14:28:00Z</cp:lastPrinted>
  <dcterms:created xsi:type="dcterms:W3CDTF">2018-03-23T08:34:00Z</dcterms:created>
  <dcterms:modified xsi:type="dcterms:W3CDTF">2018-09-14T13:22:00Z</dcterms:modified>
</cp:coreProperties>
</file>