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C534E" w:rsidRPr="00C65DE0" w:rsidRDefault="009C534E" w:rsidP="00C65DE0">
      <w:pPr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</w:pPr>
    </w:p>
    <w:p w:rsidR="006829C7" w:rsidRPr="002467B5" w:rsidRDefault="006829C7" w:rsidP="006829C7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b/>
          <w:color w:val="C00000"/>
          <w:spacing w:val="20"/>
          <w:szCs w:val="26"/>
          <w:lang w:bidi="ru-RU"/>
        </w:rPr>
      </w:pPr>
      <w:r w:rsidRPr="002467B5">
        <w:rPr>
          <w:rFonts w:eastAsiaTheme="majorEastAsia"/>
          <w:b/>
          <w:bCs/>
          <w:color w:val="C00000"/>
          <w:spacing w:val="20"/>
          <w:szCs w:val="26"/>
          <w:lang w:bidi="ru-RU"/>
        </w:rPr>
        <w:t>Принята Комите</w:t>
      </w:r>
      <w:r w:rsidR="00932402">
        <w:rPr>
          <w:rFonts w:eastAsiaTheme="majorEastAsia"/>
          <w:b/>
          <w:bCs/>
          <w:color w:val="C00000"/>
          <w:spacing w:val="20"/>
          <w:szCs w:val="26"/>
          <w:lang w:bidi="ru-RU"/>
        </w:rPr>
        <w:t>том по рекомендациям 2009-05-27</w:t>
      </w:r>
    </w:p>
    <w:p w:rsidR="006829C7" w:rsidRPr="002467B5" w:rsidRDefault="006829C7" w:rsidP="006829C7">
      <w:pPr>
        <w:pStyle w:val="af9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/>
          <w:b/>
          <w:color w:val="C00000"/>
          <w:spacing w:val="20"/>
          <w:szCs w:val="26"/>
          <w:lang w:bidi="ru-RU"/>
        </w:rPr>
      </w:pPr>
      <w:r w:rsidRPr="002467B5">
        <w:rPr>
          <w:rFonts w:eastAsiaTheme="majorEastAsia"/>
          <w:b/>
          <w:bCs/>
          <w:color w:val="C00000"/>
          <w:spacing w:val="20"/>
          <w:szCs w:val="26"/>
          <w:lang w:bidi="ru-RU"/>
        </w:rPr>
        <w:t>Утверждена 2009-07-10</w:t>
      </w:r>
    </w:p>
    <w:p w:rsidR="006829C7" w:rsidRDefault="006829C7" w:rsidP="006829C7">
      <w:pPr>
        <w:pStyle w:val="af9"/>
        <w:shd w:val="clear" w:color="auto" w:fill="FFFFFF"/>
        <w:spacing w:before="0" w:beforeAutospacing="0" w:after="120" w:afterAutospacing="0"/>
        <w:jc w:val="both"/>
        <w:textAlignment w:val="baseline"/>
        <w:rPr>
          <w:rFonts w:ascii="Verdana" w:hAnsi="Verdana"/>
          <w:color w:val="46473A"/>
          <w:sz w:val="14"/>
          <w:szCs w:val="14"/>
        </w:rPr>
      </w:pPr>
      <w:r>
        <w:rPr>
          <w:rFonts w:ascii="Verdana" w:hAnsi="Verdana"/>
          <w:color w:val="46473A"/>
          <w:sz w:val="14"/>
          <w:szCs w:val="14"/>
        </w:rPr>
        <w:t> </w:t>
      </w:r>
    </w:p>
    <w:p w:rsidR="006829C7" w:rsidRPr="002467B5" w:rsidRDefault="007E7FEB" w:rsidP="006829C7">
      <w:pPr>
        <w:pStyle w:val="af9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6666"/>
          <w:spacing w:val="20"/>
          <w:sz w:val="28"/>
          <w:szCs w:val="28"/>
        </w:rPr>
      </w:pPr>
      <w:r>
        <w:rPr>
          <w:rFonts w:eastAsiaTheme="majorEastAsia"/>
          <w:color w:val="006666"/>
          <w:spacing w:val="20"/>
          <w:sz w:val="28"/>
          <w:szCs w:val="28"/>
        </w:rPr>
        <w:t>РЕКОМЕНДАЦИЯ Р-6/</w:t>
      </w:r>
      <w:r w:rsidR="006829C7" w:rsidRPr="002467B5">
        <w:rPr>
          <w:rFonts w:eastAsiaTheme="majorEastAsia"/>
          <w:color w:val="006666"/>
          <w:spacing w:val="20"/>
          <w:sz w:val="28"/>
          <w:szCs w:val="28"/>
        </w:rPr>
        <w:t>200</w:t>
      </w:r>
      <w:r w:rsidR="005150FB">
        <w:rPr>
          <w:rFonts w:eastAsiaTheme="majorEastAsia"/>
          <w:color w:val="006666"/>
          <w:spacing w:val="20"/>
          <w:sz w:val="28"/>
          <w:szCs w:val="28"/>
        </w:rPr>
        <w:t>9</w:t>
      </w:r>
      <w:r w:rsidR="006829C7" w:rsidRPr="002467B5">
        <w:rPr>
          <w:rFonts w:eastAsiaTheme="majorEastAsia"/>
          <w:color w:val="006666"/>
          <w:spacing w:val="20"/>
          <w:sz w:val="28"/>
          <w:szCs w:val="28"/>
        </w:rPr>
        <w:t xml:space="preserve"> </w:t>
      </w:r>
      <w:proofErr w:type="spellStart"/>
      <w:r w:rsidR="006829C7" w:rsidRPr="002467B5">
        <w:rPr>
          <w:rFonts w:eastAsiaTheme="majorEastAsia"/>
          <w:color w:val="006666"/>
          <w:spacing w:val="20"/>
          <w:sz w:val="28"/>
          <w:szCs w:val="28"/>
        </w:rPr>
        <w:t>КпР</w:t>
      </w:r>
      <w:proofErr w:type="spellEnd"/>
    </w:p>
    <w:p w:rsidR="006829C7" w:rsidRPr="002467B5" w:rsidRDefault="006829C7" w:rsidP="006829C7">
      <w:pPr>
        <w:pStyle w:val="af9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6666"/>
          <w:spacing w:val="20"/>
          <w:sz w:val="28"/>
          <w:szCs w:val="28"/>
        </w:rPr>
      </w:pPr>
      <w:r w:rsidRPr="002467B5">
        <w:rPr>
          <w:rFonts w:eastAsiaTheme="majorEastAsia"/>
          <w:color w:val="006666"/>
          <w:spacing w:val="20"/>
          <w:sz w:val="28"/>
          <w:szCs w:val="28"/>
        </w:rPr>
        <w:t>«И</w:t>
      </w:r>
      <w:r w:rsidR="004F5ED2">
        <w:rPr>
          <w:rFonts w:eastAsiaTheme="majorEastAsia"/>
          <w:color w:val="006666"/>
          <w:spacing w:val="20"/>
          <w:sz w:val="28"/>
          <w:szCs w:val="28"/>
        </w:rPr>
        <w:t>ЗМЕНЕНИЕ СРОКА ПОЛЕЗНОГО ИСПОЛЬ</w:t>
      </w:r>
      <w:r w:rsidRPr="002467B5">
        <w:rPr>
          <w:rFonts w:eastAsiaTheme="majorEastAsia"/>
          <w:color w:val="006666"/>
          <w:spacing w:val="20"/>
          <w:sz w:val="28"/>
          <w:szCs w:val="28"/>
        </w:rPr>
        <w:t xml:space="preserve">ЗОВАНИЯ </w:t>
      </w:r>
      <w:r w:rsidR="004F5ED2">
        <w:rPr>
          <w:rFonts w:eastAsiaTheme="majorEastAsia"/>
          <w:color w:val="006666"/>
          <w:spacing w:val="20"/>
          <w:sz w:val="28"/>
          <w:szCs w:val="28"/>
        </w:rPr>
        <w:br/>
      </w:r>
      <w:r w:rsidRPr="002467B5">
        <w:rPr>
          <w:rFonts w:eastAsiaTheme="majorEastAsia"/>
          <w:color w:val="006666"/>
          <w:spacing w:val="20"/>
          <w:sz w:val="28"/>
          <w:szCs w:val="28"/>
        </w:rPr>
        <w:t>ОСНОВНЫХ СРЕДСТВ В ТЕЧЕНИЕ ЭКСПЛУАТАЦИИ»</w:t>
      </w:r>
    </w:p>
    <w:p w:rsidR="006829C7" w:rsidRPr="00932402" w:rsidRDefault="006829C7" w:rsidP="00932402">
      <w:pPr>
        <w:pStyle w:val="af9"/>
        <w:shd w:val="clear" w:color="auto" w:fill="FFFFFF"/>
        <w:spacing w:before="360" w:beforeAutospacing="0" w:after="0" w:afterAutospacing="0"/>
        <w:jc w:val="both"/>
        <w:textAlignment w:val="baseline"/>
        <w:rPr>
          <w:rStyle w:val="afe"/>
          <w:bdr w:val="none" w:sz="0" w:space="0" w:color="auto" w:frame="1"/>
        </w:rPr>
      </w:pPr>
      <w:r w:rsidRPr="002467B5">
        <w:rPr>
          <w:rStyle w:val="afe"/>
          <w:color w:val="C00000"/>
          <w:bdr w:val="none" w:sz="0" w:space="0" w:color="auto" w:frame="1"/>
        </w:rPr>
        <w:t>ТОЛКУЕМЫЕ НОРМАТИВНЫЕ ДОКУМЕНТЫ</w:t>
      </w:r>
    </w:p>
    <w:p w:rsidR="002467B5" w:rsidRDefault="002467B5" w:rsidP="006829C7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rStyle w:val="afe"/>
          <w:color w:val="46473A"/>
          <w:bdr w:val="none" w:sz="0" w:space="0" w:color="auto" w:frame="1"/>
        </w:rPr>
      </w:pPr>
    </w:p>
    <w:p w:rsidR="006829C7" w:rsidRPr="002467B5" w:rsidRDefault="006829C7" w:rsidP="006829C7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rStyle w:val="afe"/>
          <w:color w:val="46473A"/>
          <w:bdr w:val="none" w:sz="0" w:space="0" w:color="auto" w:frame="1"/>
        </w:rPr>
        <w:t>Основные толкуемые документы:</w:t>
      </w:r>
    </w:p>
    <w:p w:rsidR="006829C7" w:rsidRPr="002467B5" w:rsidRDefault="006829C7" w:rsidP="006829C7">
      <w:pPr>
        <w:pStyle w:val="af9"/>
        <w:numPr>
          <w:ilvl w:val="0"/>
          <w:numId w:val="41"/>
        </w:numPr>
        <w:spacing w:before="0" w:beforeAutospacing="0" w:after="0" w:afterAutospacing="0"/>
        <w:ind w:left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ПБУ 6/2001  «</w:t>
      </w:r>
      <w:r w:rsidRPr="002467B5">
        <w:rPr>
          <w:rStyle w:val="afe"/>
          <w:color w:val="46473A"/>
          <w:bdr w:val="none" w:sz="0" w:space="0" w:color="auto" w:frame="1"/>
        </w:rPr>
        <w:t>Учет основных средств</w:t>
      </w:r>
      <w:r w:rsidRPr="002467B5">
        <w:rPr>
          <w:color w:val="46473A"/>
        </w:rPr>
        <w:t>»  </w:t>
      </w:r>
      <w:r w:rsidRPr="002467B5">
        <w:rPr>
          <w:i/>
          <w:iCs/>
          <w:color w:val="46473A"/>
          <w:bdr w:val="none" w:sz="0" w:space="0" w:color="auto" w:frame="1"/>
        </w:rPr>
        <w:t>Утверждено приказом Минфина РФ от 30.03.2001 №26н, с изменениями от 18.05.2002 №45н, от 12.12.2005 №147н, от 18.09.2006 №116н, от 27.11.2006 №156н</w:t>
      </w:r>
    </w:p>
    <w:p w:rsidR="006829C7" w:rsidRPr="002467B5" w:rsidRDefault="006829C7" w:rsidP="006829C7">
      <w:pPr>
        <w:pStyle w:val="af9"/>
        <w:numPr>
          <w:ilvl w:val="0"/>
          <w:numId w:val="41"/>
        </w:numPr>
        <w:spacing w:before="0" w:beforeAutospacing="0" w:after="0" w:afterAutospacing="0"/>
        <w:ind w:left="0"/>
        <w:jc w:val="both"/>
        <w:textAlignment w:val="baseline"/>
        <w:rPr>
          <w:color w:val="46473A"/>
        </w:rPr>
      </w:pPr>
      <w:bookmarkStart w:id="0" w:name="_GoBack"/>
      <w:bookmarkEnd w:id="0"/>
      <w:r w:rsidRPr="002467B5">
        <w:rPr>
          <w:color w:val="46473A"/>
        </w:rPr>
        <w:t>ПБУ 21/2008 «</w:t>
      </w:r>
      <w:r w:rsidRPr="002467B5">
        <w:rPr>
          <w:rStyle w:val="afe"/>
          <w:color w:val="46473A"/>
          <w:bdr w:val="none" w:sz="0" w:space="0" w:color="auto" w:frame="1"/>
        </w:rPr>
        <w:t>Изменения оценочных значений</w:t>
      </w:r>
      <w:r w:rsidRPr="002467B5">
        <w:rPr>
          <w:color w:val="46473A"/>
        </w:rPr>
        <w:t>»</w:t>
      </w:r>
      <w:r w:rsidRPr="002467B5">
        <w:rPr>
          <w:color w:val="46473A"/>
          <w:bdr w:val="none" w:sz="0" w:space="0" w:color="auto" w:frame="1"/>
        </w:rPr>
        <w:t>  </w:t>
      </w:r>
      <w:r w:rsidRPr="002467B5">
        <w:rPr>
          <w:i/>
          <w:iCs/>
          <w:color w:val="46473A"/>
          <w:bdr w:val="none" w:sz="0" w:space="0" w:color="auto" w:frame="1"/>
        </w:rPr>
        <w:t>Утверждено приказом Минфина РФ от 06.10.2008 №106н</w:t>
      </w:r>
    </w:p>
    <w:p w:rsidR="006829C7" w:rsidRPr="002467B5" w:rsidRDefault="006829C7" w:rsidP="006829C7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rStyle w:val="afe"/>
          <w:color w:val="46473A"/>
          <w:bdr w:val="none" w:sz="0" w:space="0" w:color="auto" w:frame="1"/>
        </w:rPr>
        <w:t>Прочие применяемые документы:</w:t>
      </w:r>
    </w:p>
    <w:p w:rsidR="006829C7" w:rsidRPr="002467B5" w:rsidRDefault="006829C7" w:rsidP="006829C7">
      <w:pPr>
        <w:numPr>
          <w:ilvl w:val="0"/>
          <w:numId w:val="4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6473A"/>
          <w:sz w:val="24"/>
          <w:szCs w:val="24"/>
        </w:rPr>
      </w:pPr>
      <w:r w:rsidRPr="002467B5">
        <w:rPr>
          <w:rFonts w:ascii="Times New Roman" w:hAnsi="Times New Roman" w:cs="Times New Roman"/>
          <w:color w:val="46473A"/>
          <w:sz w:val="24"/>
          <w:szCs w:val="24"/>
        </w:rPr>
        <w:t>ПБУ 1/2008 «</w:t>
      </w:r>
      <w:r w:rsidRPr="002467B5">
        <w:rPr>
          <w:rStyle w:val="afe"/>
          <w:rFonts w:ascii="Times New Roman" w:hAnsi="Times New Roman" w:cs="Times New Roman"/>
          <w:color w:val="46473A"/>
          <w:sz w:val="24"/>
          <w:szCs w:val="24"/>
          <w:bdr w:val="none" w:sz="0" w:space="0" w:color="auto" w:frame="1"/>
        </w:rPr>
        <w:t>Учетная политика организации</w:t>
      </w:r>
      <w:r w:rsidRPr="002467B5">
        <w:rPr>
          <w:rFonts w:ascii="Times New Roman" w:hAnsi="Times New Roman" w:cs="Times New Roman"/>
          <w:color w:val="46473A"/>
          <w:sz w:val="24"/>
          <w:szCs w:val="24"/>
        </w:rPr>
        <w:t>»</w:t>
      </w:r>
      <w:r w:rsidRPr="002467B5">
        <w:rPr>
          <w:rFonts w:ascii="Times New Roman" w:hAnsi="Times New Roman" w:cs="Times New Roman"/>
          <w:i/>
          <w:iCs/>
          <w:color w:val="46473A"/>
          <w:sz w:val="24"/>
          <w:szCs w:val="24"/>
          <w:bdr w:val="none" w:sz="0" w:space="0" w:color="auto" w:frame="1"/>
        </w:rPr>
        <w:t>  Утверждено приказом Минфина РФ от 06.10.2008 №106н</w:t>
      </w:r>
    </w:p>
    <w:p w:rsidR="006829C7" w:rsidRPr="002467B5" w:rsidRDefault="006829C7" w:rsidP="006829C7">
      <w:pPr>
        <w:pStyle w:val="af9"/>
        <w:numPr>
          <w:ilvl w:val="0"/>
          <w:numId w:val="42"/>
        </w:numPr>
        <w:spacing w:before="0" w:beforeAutospacing="0" w:after="0" w:afterAutospacing="0"/>
        <w:ind w:left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ПБУ 14/2007 «</w:t>
      </w:r>
      <w:r w:rsidRPr="002467B5">
        <w:rPr>
          <w:rStyle w:val="afe"/>
          <w:color w:val="46473A"/>
          <w:bdr w:val="none" w:sz="0" w:space="0" w:color="auto" w:frame="1"/>
        </w:rPr>
        <w:t>Учет нематериальных активов</w:t>
      </w:r>
      <w:r w:rsidRPr="002467B5">
        <w:rPr>
          <w:color w:val="46473A"/>
        </w:rPr>
        <w:t>»</w:t>
      </w:r>
      <w:r w:rsidRPr="002467B5">
        <w:rPr>
          <w:color w:val="46473A"/>
          <w:bdr w:val="none" w:sz="0" w:space="0" w:color="auto" w:frame="1"/>
        </w:rPr>
        <w:t>  </w:t>
      </w:r>
      <w:r w:rsidRPr="002467B5">
        <w:rPr>
          <w:i/>
          <w:iCs/>
          <w:color w:val="46473A"/>
          <w:bdr w:val="none" w:sz="0" w:space="0" w:color="auto" w:frame="1"/>
        </w:rPr>
        <w:t>Утверждено приказом Минфина РФ от 27.12.2007 №153н</w:t>
      </w:r>
    </w:p>
    <w:p w:rsidR="006829C7" w:rsidRPr="00932402" w:rsidRDefault="006829C7" w:rsidP="00932402">
      <w:pPr>
        <w:pStyle w:val="af9"/>
        <w:shd w:val="clear" w:color="auto" w:fill="FFFFFF"/>
        <w:spacing w:before="360" w:beforeAutospacing="0" w:after="0" w:afterAutospacing="0"/>
        <w:jc w:val="both"/>
        <w:textAlignment w:val="baseline"/>
        <w:rPr>
          <w:rStyle w:val="afe"/>
          <w:color w:val="C00000"/>
          <w:bdr w:val="none" w:sz="0" w:space="0" w:color="auto" w:frame="1"/>
        </w:rPr>
      </w:pPr>
      <w:r w:rsidRPr="002467B5">
        <w:rPr>
          <w:rStyle w:val="afe"/>
          <w:color w:val="C00000"/>
          <w:bdr w:val="none" w:sz="0" w:space="0" w:color="auto" w:frame="1"/>
        </w:rPr>
        <w:t>СФЕРА ПРИМЕНЕНИЯ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932402">
        <w:rPr>
          <w:color w:val="46473A"/>
        </w:rPr>
        <w:t>Настоящая Рекомендация</w:t>
      </w:r>
      <w:r w:rsidRPr="002467B5">
        <w:rPr>
          <w:color w:val="46473A"/>
        </w:rPr>
        <w:t> применяется для расчёта амортизационных отчислений по осно</w:t>
      </w:r>
      <w:r w:rsidRPr="002467B5">
        <w:rPr>
          <w:color w:val="46473A"/>
        </w:rPr>
        <w:t>в</w:t>
      </w:r>
      <w:r w:rsidRPr="002467B5">
        <w:rPr>
          <w:color w:val="46473A"/>
        </w:rPr>
        <w:t>ным средствам в целях бухгалтерского учёта и бухгалтерской (финансовой) отчётности.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932402">
        <w:rPr>
          <w:color w:val="46473A"/>
        </w:rPr>
        <w:t>Настоящая Рекомендация</w:t>
      </w:r>
      <w:r w:rsidRPr="002467B5">
        <w:rPr>
          <w:color w:val="46473A"/>
        </w:rPr>
        <w:t> действует с момента его публикации до момента принятия но</w:t>
      </w:r>
      <w:r w:rsidRPr="002467B5">
        <w:rPr>
          <w:color w:val="46473A"/>
        </w:rPr>
        <w:t>р</w:t>
      </w:r>
      <w:r w:rsidRPr="002467B5">
        <w:rPr>
          <w:color w:val="46473A"/>
        </w:rPr>
        <w:t>мативного правового акта (актов), которым будет урегулирована проблема, являющаяся предметом настоящей Рекомендации.</w:t>
      </w:r>
    </w:p>
    <w:p w:rsidR="006829C7" w:rsidRPr="00932402" w:rsidRDefault="006829C7" w:rsidP="00932402">
      <w:pPr>
        <w:pStyle w:val="af9"/>
        <w:shd w:val="clear" w:color="auto" w:fill="FFFFFF"/>
        <w:spacing w:before="360" w:beforeAutospacing="0" w:after="0" w:afterAutospacing="0"/>
        <w:jc w:val="both"/>
        <w:textAlignment w:val="baseline"/>
        <w:rPr>
          <w:rStyle w:val="afe"/>
          <w:bdr w:val="none" w:sz="0" w:space="0" w:color="auto" w:frame="1"/>
        </w:rPr>
      </w:pPr>
      <w:r w:rsidRPr="002467B5">
        <w:rPr>
          <w:rStyle w:val="afe"/>
          <w:color w:val="C00000"/>
          <w:bdr w:val="none" w:sz="0" w:space="0" w:color="auto" w:frame="1"/>
        </w:rPr>
        <w:t>ОПИСАНИЕ ПРОБЛЕМЫ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В соответствии с первым абзацем </w:t>
      </w:r>
      <w:r w:rsidRPr="00932402">
        <w:rPr>
          <w:b/>
          <w:bCs/>
        </w:rPr>
        <w:t>пункта 20 ПБУ 6/01</w:t>
      </w:r>
      <w:r w:rsidRPr="002467B5">
        <w:rPr>
          <w:color w:val="46473A"/>
        </w:rPr>
        <w:t xml:space="preserve"> срок полезного использования об</w:t>
      </w:r>
      <w:r w:rsidRPr="002467B5">
        <w:rPr>
          <w:color w:val="46473A"/>
        </w:rPr>
        <w:t>ъ</w:t>
      </w:r>
      <w:r w:rsidRPr="002467B5">
        <w:rPr>
          <w:color w:val="46473A"/>
        </w:rPr>
        <w:t>екта основных средств определяется организацией при принятии объекта к бухгалтерскому учету.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Указанная норма содержит правило первоначального установления срока полезного и</w:t>
      </w:r>
      <w:r w:rsidRPr="002467B5">
        <w:rPr>
          <w:color w:val="46473A"/>
        </w:rPr>
        <w:t>с</w:t>
      </w:r>
      <w:r w:rsidRPr="002467B5">
        <w:rPr>
          <w:color w:val="46473A"/>
        </w:rPr>
        <w:t>пользования (далее по тексту — СПИ), но не говорит о том, должен ли изначально устано</w:t>
      </w:r>
      <w:r w:rsidRPr="002467B5">
        <w:rPr>
          <w:color w:val="46473A"/>
        </w:rPr>
        <w:t>в</w:t>
      </w:r>
      <w:r w:rsidRPr="002467B5">
        <w:rPr>
          <w:color w:val="46473A"/>
        </w:rPr>
        <w:t>ленный СПИ быть окончательным, или он подлежит изменению.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В соответствии с последним абзацем того же </w:t>
      </w:r>
      <w:r w:rsidRPr="00932402">
        <w:rPr>
          <w:b/>
          <w:bCs/>
        </w:rPr>
        <w:t>пункта 20 ПБУ 6/01</w:t>
      </w:r>
      <w:r w:rsidRPr="002467B5">
        <w:rPr>
          <w:color w:val="46473A"/>
        </w:rPr>
        <w:t>, в случаях улучшения (повышения) первоначально принятых нормативных показателей функционирования об</w:t>
      </w:r>
      <w:r w:rsidRPr="002467B5">
        <w:rPr>
          <w:color w:val="46473A"/>
        </w:rPr>
        <w:t>ъ</w:t>
      </w:r>
      <w:r w:rsidRPr="002467B5">
        <w:rPr>
          <w:color w:val="46473A"/>
        </w:rPr>
        <w:t>екта основных средств в результате проведенной реконструкции или модернизации, орг</w:t>
      </w:r>
      <w:r w:rsidRPr="002467B5">
        <w:rPr>
          <w:color w:val="46473A"/>
        </w:rPr>
        <w:t>а</w:t>
      </w:r>
      <w:r w:rsidRPr="002467B5">
        <w:rPr>
          <w:color w:val="46473A"/>
        </w:rPr>
        <w:t>низацией пересматривается срок полезного использования по этому объекту.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Указанная норма описывает случай изменения СПИ, но не говорит о том, является ли да</w:t>
      </w:r>
      <w:r w:rsidRPr="002467B5">
        <w:rPr>
          <w:color w:val="46473A"/>
        </w:rPr>
        <w:t>н</w:t>
      </w:r>
      <w:r w:rsidRPr="002467B5">
        <w:rPr>
          <w:color w:val="46473A"/>
        </w:rPr>
        <w:t>ный случай единственно возможным. По поводу пересмотров СПИ в результате других причин, правила отсутствуют — нет ни запрета, ни разрешения, ни предписания.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lastRenderedPageBreak/>
        <w:t>Согласно </w:t>
      </w:r>
      <w:r w:rsidRPr="00932402">
        <w:rPr>
          <w:b/>
          <w:bCs/>
        </w:rPr>
        <w:t>пункту 3 ПБУ 21/08</w:t>
      </w:r>
      <w:r w:rsidRPr="002467B5">
        <w:rPr>
          <w:color w:val="46473A"/>
        </w:rPr>
        <w:t>, СПИ основных средств является оценочным значением. В свою очередь, исходя из </w:t>
      </w:r>
      <w:r w:rsidRPr="00932402">
        <w:rPr>
          <w:b/>
          <w:bCs/>
        </w:rPr>
        <w:t>пункта 2 того же ПБУ 21/08</w:t>
      </w:r>
      <w:r w:rsidRPr="002467B5">
        <w:rPr>
          <w:color w:val="46473A"/>
        </w:rPr>
        <w:t>, изменением оценочного значения является корректировка величины, отражающей погашение стоимости актива, обусловле</w:t>
      </w:r>
      <w:r w:rsidRPr="002467B5">
        <w:rPr>
          <w:color w:val="46473A"/>
        </w:rPr>
        <w:t>н</w:t>
      </w:r>
      <w:r w:rsidRPr="002467B5">
        <w:rPr>
          <w:color w:val="46473A"/>
        </w:rPr>
        <w:t>ная появлением новой информации, которая производится исходя из оценки существующ</w:t>
      </w:r>
      <w:r w:rsidRPr="002467B5">
        <w:rPr>
          <w:color w:val="46473A"/>
        </w:rPr>
        <w:t>е</w:t>
      </w:r>
      <w:r w:rsidRPr="002467B5">
        <w:rPr>
          <w:color w:val="46473A"/>
        </w:rPr>
        <w:t>го положения дел в организации, ожидаемых будущих выгод. Эти нормы свидетельствуют о том, что появление новой информации также является основанием для изменения СПИ в течение эксплуатации ОС.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СПИ — это прогнозная характеристика. Если с течением времени при изменении условий эта характеристика уточняется, то финансовая картина становится более достоверной. Тем не менее, в российской учётной практике изначально установленный срок полезного и</w:t>
      </w:r>
      <w:r w:rsidRPr="002467B5">
        <w:rPr>
          <w:color w:val="46473A"/>
        </w:rPr>
        <w:t>с</w:t>
      </w:r>
      <w:r w:rsidRPr="002467B5">
        <w:rPr>
          <w:color w:val="46473A"/>
        </w:rPr>
        <w:t>пользования почти никогда не пересматривается. Зачастую правило об установлении СПИ в момент принятия к учёту основного средства трактуется как запрет на его дальнейший пересмотр, а возможность увеличения СПИ в результате модернизации трактуется, как и</w:t>
      </w:r>
      <w:r w:rsidRPr="002467B5">
        <w:rPr>
          <w:color w:val="46473A"/>
        </w:rPr>
        <w:t>с</w:t>
      </w:r>
      <w:r w:rsidRPr="002467B5">
        <w:rPr>
          <w:color w:val="46473A"/>
        </w:rPr>
        <w:t>ключительный случай изменения СПИ. Такая учётная практика приводит к снижению и</w:t>
      </w:r>
      <w:r w:rsidRPr="002467B5">
        <w:rPr>
          <w:color w:val="46473A"/>
        </w:rPr>
        <w:t>н</w:t>
      </w:r>
      <w:r w:rsidRPr="002467B5">
        <w:rPr>
          <w:color w:val="46473A"/>
        </w:rPr>
        <w:t>формативности отчётных показателей и ухудшению качества бухгалтерской отчётности.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Указанные аргументы свидетельствуют о том, что существующая практика бухгалтерского учёта не согласуется с требованиями ПБУ, и кроме того, снижает качество бухгалтерской отчётности.</w:t>
      </w:r>
    </w:p>
    <w:p w:rsidR="006829C7" w:rsidRPr="002467B5" w:rsidRDefault="006829C7" w:rsidP="00932402">
      <w:pPr>
        <w:pStyle w:val="af9"/>
        <w:shd w:val="clear" w:color="auto" w:fill="FFFFFF"/>
        <w:spacing w:before="360" w:beforeAutospacing="0" w:after="0" w:afterAutospacing="0"/>
        <w:jc w:val="both"/>
        <w:textAlignment w:val="baseline"/>
        <w:rPr>
          <w:color w:val="C00000"/>
        </w:rPr>
      </w:pPr>
      <w:r w:rsidRPr="002467B5">
        <w:rPr>
          <w:rStyle w:val="afe"/>
          <w:color w:val="C00000"/>
          <w:bdr w:val="none" w:sz="0" w:space="0" w:color="auto" w:frame="1"/>
        </w:rPr>
        <w:t>РЕШЕНИЕ</w:t>
      </w:r>
    </w:p>
    <w:p w:rsidR="006829C7" w:rsidRPr="002467B5" w:rsidRDefault="006829C7" w:rsidP="00495903">
      <w:pPr>
        <w:pStyle w:val="af9"/>
        <w:numPr>
          <w:ilvl w:val="1"/>
          <w:numId w:val="41"/>
        </w:numPr>
        <w:shd w:val="clear" w:color="auto" w:fill="FFFFFF"/>
        <w:spacing w:before="120" w:beforeAutospacing="0" w:after="0" w:afterAutospacing="0"/>
        <w:ind w:left="357" w:hanging="357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Абзацем первым </w:t>
      </w:r>
      <w:r w:rsidRPr="002467B5">
        <w:rPr>
          <w:rStyle w:val="afe"/>
          <w:color w:val="31849B" w:themeColor="accent5" w:themeShade="BF"/>
          <w:bdr w:val="none" w:sz="0" w:space="0" w:color="auto" w:frame="1"/>
        </w:rPr>
        <w:t>пункта 20 ПБУ 6/01</w:t>
      </w:r>
      <w:r w:rsidRPr="002467B5">
        <w:rPr>
          <w:color w:val="31849B" w:themeColor="accent5" w:themeShade="BF"/>
        </w:rPr>
        <w:t> установлено правило первичного определения СПИ основных средств, которое никак не ограничивает последующий пересмотр СПИ. Случай пересмотра СПИ, названный в последнем абзаце </w:t>
      </w:r>
      <w:r w:rsidRPr="002467B5">
        <w:rPr>
          <w:rStyle w:val="afe"/>
          <w:color w:val="31849B" w:themeColor="accent5" w:themeShade="BF"/>
          <w:bdr w:val="none" w:sz="0" w:space="0" w:color="auto" w:frame="1"/>
        </w:rPr>
        <w:t>пункта 20 ПБУ 6/01</w:t>
      </w:r>
      <w:r w:rsidRPr="002467B5">
        <w:rPr>
          <w:color w:val="31849B" w:themeColor="accent5" w:themeShade="BF"/>
        </w:rPr>
        <w:t>, не явл</w:t>
      </w:r>
      <w:r w:rsidRPr="002467B5">
        <w:rPr>
          <w:color w:val="31849B" w:themeColor="accent5" w:themeShade="BF"/>
        </w:rPr>
        <w:t>я</w:t>
      </w:r>
      <w:r w:rsidRPr="002467B5">
        <w:rPr>
          <w:color w:val="31849B" w:themeColor="accent5" w:themeShade="BF"/>
        </w:rPr>
        <w:t>ется единственно возможным случаем изменения СПИ основных средств.</w:t>
      </w:r>
    </w:p>
    <w:p w:rsidR="006829C7" w:rsidRPr="002467B5" w:rsidRDefault="006829C7" w:rsidP="00495903">
      <w:pPr>
        <w:pStyle w:val="af9"/>
        <w:numPr>
          <w:ilvl w:val="1"/>
          <w:numId w:val="41"/>
        </w:numPr>
        <w:shd w:val="clear" w:color="auto" w:fill="FFFFFF"/>
        <w:spacing w:before="120" w:beforeAutospacing="0" w:after="0" w:afterAutospacing="0"/>
        <w:ind w:left="357" w:hanging="357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СПИ основных средств подлежит пересмотру как минимум на ежегодной основе. Пер</w:t>
      </w:r>
      <w:r w:rsidRPr="002467B5">
        <w:rPr>
          <w:color w:val="31849B" w:themeColor="accent5" w:themeShade="BF"/>
        </w:rPr>
        <w:t>е</w:t>
      </w:r>
      <w:r w:rsidRPr="002467B5">
        <w:rPr>
          <w:color w:val="31849B" w:themeColor="accent5" w:themeShade="BF"/>
        </w:rPr>
        <w:t>смотр не означает непременное изменение СПИ. Организация должна убедиться, не возникло ли необходимости изменения. Для этой цели организация рассматривает р</w:t>
      </w:r>
      <w:r w:rsidRPr="002467B5">
        <w:rPr>
          <w:color w:val="31849B" w:themeColor="accent5" w:themeShade="BF"/>
        </w:rPr>
        <w:t>е</w:t>
      </w:r>
      <w:r w:rsidRPr="002467B5">
        <w:rPr>
          <w:color w:val="31849B" w:themeColor="accent5" w:themeShade="BF"/>
        </w:rPr>
        <w:t>жим эксплуатации, способы использования, естественные условия, системы проведения ремонта, нормативно-правовые и другие ограничения, намерения руководства орган</w:t>
      </w:r>
      <w:r w:rsidRPr="002467B5">
        <w:rPr>
          <w:color w:val="31849B" w:themeColor="accent5" w:themeShade="BF"/>
        </w:rPr>
        <w:t>и</w:t>
      </w:r>
      <w:r w:rsidRPr="002467B5">
        <w:rPr>
          <w:color w:val="31849B" w:themeColor="accent5" w:themeShade="BF"/>
        </w:rPr>
        <w:t>зации, физический или моральный износ объектов и другие актуальные параметры и сравнивает их с данными, которые учитывались при предыдущем установлении СПИ. В случаях, когда текущая информация свидетельствует о существенном изменении ук</w:t>
      </w:r>
      <w:r w:rsidRPr="002467B5">
        <w:rPr>
          <w:color w:val="31849B" w:themeColor="accent5" w:themeShade="BF"/>
        </w:rPr>
        <w:t>а</w:t>
      </w:r>
      <w:r w:rsidRPr="002467B5">
        <w:rPr>
          <w:color w:val="31849B" w:themeColor="accent5" w:themeShade="BF"/>
        </w:rPr>
        <w:t>занных параметров, СПИ основных средств изменяется соответствующим образом (в том числе, как в сторону увеличения, так и в сторону уменьшения). Организация может проводить процедуры пересмотра СПИ основных средств в рамках регулярной инвент</w:t>
      </w:r>
      <w:r w:rsidRPr="002467B5">
        <w:rPr>
          <w:color w:val="31849B" w:themeColor="accent5" w:themeShade="BF"/>
        </w:rPr>
        <w:t>а</w:t>
      </w:r>
      <w:r w:rsidRPr="002467B5">
        <w:rPr>
          <w:color w:val="31849B" w:themeColor="accent5" w:themeShade="BF"/>
        </w:rPr>
        <w:t>ризации основных средств. Однако, частота проведения инвентаризации не должна служить основанием для пересмотра СПИ реже, чем один раз в год.</w:t>
      </w:r>
    </w:p>
    <w:p w:rsidR="006829C7" w:rsidRPr="002467B5" w:rsidRDefault="006829C7" w:rsidP="00495903">
      <w:pPr>
        <w:pStyle w:val="af9"/>
        <w:numPr>
          <w:ilvl w:val="1"/>
          <w:numId w:val="41"/>
        </w:numPr>
        <w:shd w:val="clear" w:color="auto" w:fill="FFFFFF"/>
        <w:spacing w:before="120" w:beforeAutospacing="0" w:after="0" w:afterAutospacing="0"/>
        <w:ind w:left="357" w:hanging="357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Изменение СПИ отражается в бухгалтерском учёте как изменение оценочного значения в соответствии с </w:t>
      </w:r>
      <w:r w:rsidRPr="002467B5">
        <w:rPr>
          <w:rStyle w:val="afe"/>
          <w:color w:val="31849B" w:themeColor="accent5" w:themeShade="BF"/>
          <w:bdr w:val="none" w:sz="0" w:space="0" w:color="auto" w:frame="1"/>
        </w:rPr>
        <w:t>ПБУ 21/08</w:t>
      </w:r>
      <w:hyperlink r:id="rId8" w:history="1">
        <w:r w:rsidRPr="002467B5">
          <w:rPr>
            <w:rStyle w:val="afd"/>
            <w:color w:val="31849B" w:themeColor="accent5" w:themeShade="BF"/>
            <w:bdr w:val="none" w:sz="0" w:space="0" w:color="auto" w:frame="1"/>
          </w:rPr>
          <w:t>.</w:t>
        </w:r>
      </w:hyperlink>
      <w:r w:rsidRPr="002467B5">
        <w:rPr>
          <w:color w:val="31849B" w:themeColor="accent5" w:themeShade="BF"/>
        </w:rPr>
        <w:t> Это означает, что при изменении СПИ, амортизация, н</w:t>
      </w:r>
      <w:r w:rsidRPr="002467B5">
        <w:rPr>
          <w:color w:val="31849B" w:themeColor="accent5" w:themeShade="BF"/>
        </w:rPr>
        <w:t>а</w:t>
      </w:r>
      <w:r w:rsidRPr="002467B5">
        <w:rPr>
          <w:color w:val="31849B" w:themeColor="accent5" w:themeShade="BF"/>
        </w:rPr>
        <w:t>численная за предыдущие периоды, не пересчитывается. При этом остаточная сто</w:t>
      </w:r>
      <w:r w:rsidRPr="002467B5">
        <w:rPr>
          <w:color w:val="31849B" w:themeColor="accent5" w:themeShade="BF"/>
        </w:rPr>
        <w:t>и</w:t>
      </w:r>
      <w:r w:rsidRPr="002467B5">
        <w:rPr>
          <w:color w:val="31849B" w:themeColor="accent5" w:themeShade="BF"/>
        </w:rPr>
        <w:t>мость распределяется на оставшийся новый срок полезного использования в соответс</w:t>
      </w:r>
      <w:r w:rsidRPr="002467B5">
        <w:rPr>
          <w:color w:val="31849B" w:themeColor="accent5" w:themeShade="BF"/>
        </w:rPr>
        <w:t>т</w:t>
      </w:r>
      <w:r w:rsidRPr="002467B5">
        <w:rPr>
          <w:color w:val="31849B" w:themeColor="accent5" w:themeShade="BF"/>
        </w:rPr>
        <w:t>вии с выбранным методом амортизации.</w:t>
      </w:r>
    </w:p>
    <w:p w:rsidR="006829C7" w:rsidRPr="002467B5" w:rsidRDefault="006829C7" w:rsidP="00495903">
      <w:pPr>
        <w:pStyle w:val="af9"/>
        <w:numPr>
          <w:ilvl w:val="1"/>
          <w:numId w:val="41"/>
        </w:numPr>
        <w:shd w:val="clear" w:color="auto" w:fill="FFFFFF"/>
        <w:spacing w:before="120" w:beforeAutospacing="0" w:after="0" w:afterAutospacing="0"/>
        <w:ind w:left="357" w:hanging="357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Момент начала начисления амортизации по новому графику в связи с изменением СПИ выбирается организацией самостоятельно и закрепляется в учетной политике. Рекоме</w:t>
      </w:r>
      <w:r w:rsidRPr="002467B5">
        <w:rPr>
          <w:color w:val="31849B" w:themeColor="accent5" w:themeShade="BF"/>
        </w:rPr>
        <w:t>н</w:t>
      </w:r>
      <w:r w:rsidRPr="002467B5">
        <w:rPr>
          <w:color w:val="31849B" w:themeColor="accent5" w:themeShade="BF"/>
        </w:rPr>
        <w:t>дуется во всех случаях отражать изменение СПИ в учёте с начала отчётного года, в к</w:t>
      </w:r>
      <w:r w:rsidRPr="002467B5">
        <w:rPr>
          <w:color w:val="31849B" w:themeColor="accent5" w:themeShade="BF"/>
        </w:rPr>
        <w:t>о</w:t>
      </w:r>
      <w:r w:rsidRPr="002467B5">
        <w:rPr>
          <w:color w:val="31849B" w:themeColor="accent5" w:themeShade="BF"/>
        </w:rPr>
        <w:t>тором произошло изменение. Амортизация за истекшие месяцы текущего года пересч</w:t>
      </w:r>
      <w:r w:rsidRPr="002467B5">
        <w:rPr>
          <w:color w:val="31849B" w:themeColor="accent5" w:themeShade="BF"/>
        </w:rPr>
        <w:t>и</w:t>
      </w:r>
      <w:r w:rsidRPr="002467B5">
        <w:rPr>
          <w:color w:val="31849B" w:themeColor="accent5" w:themeShade="BF"/>
        </w:rPr>
        <w:lastRenderedPageBreak/>
        <w:t>тывается в соответствии с новым СПИ, что не является ретроспективным пересчётом, а является отражением изменения оценочного значения в текущем периоде.</w:t>
      </w:r>
    </w:p>
    <w:p w:rsidR="006829C7" w:rsidRPr="002467B5" w:rsidRDefault="006829C7" w:rsidP="00495903">
      <w:pPr>
        <w:pStyle w:val="af9"/>
        <w:shd w:val="clear" w:color="auto" w:fill="FFFFFF"/>
        <w:spacing w:before="0" w:beforeAutospacing="0" w:after="0" w:afterAutospacing="0"/>
        <w:ind w:left="335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Если изменение СПИ является результатом наступления разового события, такого как перевод объектов в агрессивную среду, принятие ограничивающих нормативных док</w:t>
      </w:r>
      <w:r w:rsidRPr="002467B5">
        <w:rPr>
          <w:color w:val="31849B" w:themeColor="accent5" w:themeShade="BF"/>
        </w:rPr>
        <w:t>у</w:t>
      </w:r>
      <w:r w:rsidRPr="002467B5">
        <w:rPr>
          <w:color w:val="31849B" w:themeColor="accent5" w:themeShade="BF"/>
        </w:rPr>
        <w:t>ментов, введение налогов или пошлин, решения руководства по графику обновления о</w:t>
      </w:r>
      <w:r w:rsidRPr="002467B5">
        <w:rPr>
          <w:color w:val="31849B" w:themeColor="accent5" w:themeShade="BF"/>
        </w:rPr>
        <w:t>с</w:t>
      </w:r>
      <w:r w:rsidRPr="002467B5">
        <w:rPr>
          <w:color w:val="31849B" w:themeColor="accent5" w:themeShade="BF"/>
        </w:rPr>
        <w:t>новных фондов и т.п., амортизация по новому графику может начисляться с 1 числа м</w:t>
      </w:r>
      <w:r w:rsidRPr="002467B5">
        <w:rPr>
          <w:color w:val="31849B" w:themeColor="accent5" w:themeShade="BF"/>
        </w:rPr>
        <w:t>е</w:t>
      </w:r>
      <w:r w:rsidRPr="002467B5">
        <w:rPr>
          <w:color w:val="31849B" w:themeColor="accent5" w:themeShade="BF"/>
        </w:rPr>
        <w:t>сяца, следующего за месяцем, в котором произошло событие без пересчёта истекших месяцев текущего года.</w:t>
      </w:r>
    </w:p>
    <w:p w:rsidR="006829C7" w:rsidRPr="002467B5" w:rsidRDefault="006829C7" w:rsidP="00495903">
      <w:pPr>
        <w:pStyle w:val="af9"/>
        <w:shd w:val="clear" w:color="auto" w:fill="FFFFFF"/>
        <w:spacing w:before="0" w:beforeAutospacing="0" w:after="0" w:afterAutospacing="0"/>
        <w:ind w:left="335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Изменение СПИ основных средств может быть обусловлено постепенным обновлением информации, когда организация фиксирует сроки фактического прекращения эксплу</w:t>
      </w:r>
      <w:r w:rsidRPr="002467B5">
        <w:rPr>
          <w:color w:val="31849B" w:themeColor="accent5" w:themeShade="BF"/>
        </w:rPr>
        <w:t>а</w:t>
      </w:r>
      <w:r w:rsidRPr="002467B5">
        <w:rPr>
          <w:color w:val="31849B" w:themeColor="accent5" w:themeShade="BF"/>
        </w:rPr>
        <w:t>тации или выбытия основных средств такого же класса и таким образом обнаруживает, что изначально заданный СПИ для этого класса объектов отличается от фактического.</w:t>
      </w:r>
    </w:p>
    <w:p w:rsidR="006829C7" w:rsidRPr="002467B5" w:rsidRDefault="006829C7" w:rsidP="00495903">
      <w:pPr>
        <w:pStyle w:val="af9"/>
        <w:shd w:val="clear" w:color="auto" w:fill="FFFFFF"/>
        <w:spacing w:before="0" w:beforeAutospacing="0" w:after="0" w:afterAutospacing="0"/>
        <w:ind w:left="335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Если сбор такой информации был завершён к концу отчётного года, а пересчёт аморт</w:t>
      </w:r>
      <w:r w:rsidRPr="002467B5">
        <w:rPr>
          <w:color w:val="31849B" w:themeColor="accent5" w:themeShade="BF"/>
        </w:rPr>
        <w:t>и</w:t>
      </w:r>
      <w:r w:rsidRPr="002467B5">
        <w:rPr>
          <w:color w:val="31849B" w:themeColor="accent5" w:themeShade="BF"/>
        </w:rPr>
        <w:t>зации за истекшие месяцы текущего года является трудоёмким и снижающим надё</w:t>
      </w:r>
      <w:r w:rsidRPr="002467B5">
        <w:rPr>
          <w:color w:val="31849B" w:themeColor="accent5" w:themeShade="BF"/>
        </w:rPr>
        <w:t>ж</w:t>
      </w:r>
      <w:r w:rsidRPr="002467B5">
        <w:rPr>
          <w:color w:val="31849B" w:themeColor="accent5" w:themeShade="BF"/>
        </w:rPr>
        <w:t>ность информации, организация может начать начислять амортизацию по новому гр</w:t>
      </w:r>
      <w:r w:rsidRPr="002467B5">
        <w:rPr>
          <w:color w:val="31849B" w:themeColor="accent5" w:themeShade="BF"/>
        </w:rPr>
        <w:t>а</w:t>
      </w:r>
      <w:r w:rsidRPr="002467B5">
        <w:rPr>
          <w:color w:val="31849B" w:themeColor="accent5" w:themeShade="BF"/>
        </w:rPr>
        <w:t>фику с 1 января года, следующего за годом изменения СПИ.</w:t>
      </w:r>
    </w:p>
    <w:p w:rsidR="006829C7" w:rsidRPr="002467B5" w:rsidRDefault="006829C7" w:rsidP="00495903">
      <w:pPr>
        <w:pStyle w:val="af9"/>
        <w:numPr>
          <w:ilvl w:val="1"/>
          <w:numId w:val="41"/>
        </w:numPr>
        <w:shd w:val="clear" w:color="auto" w:fill="FFFFFF"/>
        <w:spacing w:before="120" w:beforeAutospacing="0" w:after="0" w:afterAutospacing="0"/>
        <w:ind w:left="357" w:hanging="357"/>
        <w:jc w:val="both"/>
        <w:textAlignment w:val="baseline"/>
        <w:rPr>
          <w:color w:val="31849B" w:themeColor="accent5" w:themeShade="BF"/>
        </w:rPr>
      </w:pPr>
      <w:r w:rsidRPr="002467B5">
        <w:rPr>
          <w:color w:val="31849B" w:themeColor="accent5" w:themeShade="BF"/>
        </w:rPr>
        <w:t>СПИ пересматривается в отношении всей группы объектов основных средств, имеющих сходные амортизационные характеристики. Под амортизационными характеристиками понимаются факторы, указанные в </w:t>
      </w:r>
      <w:r w:rsidRPr="00495903">
        <w:rPr>
          <w:rStyle w:val="afe"/>
          <w:bCs w:val="0"/>
          <w:color w:val="31849B" w:themeColor="accent5" w:themeShade="BF"/>
          <w:bdr w:val="none" w:sz="0" w:space="0" w:color="auto" w:frame="1"/>
        </w:rPr>
        <w:t xml:space="preserve">пункте </w:t>
      </w:r>
      <w:r w:rsidR="006159ED" w:rsidRPr="00495903">
        <w:rPr>
          <w:rStyle w:val="afe"/>
          <w:bCs w:val="0"/>
          <w:color w:val="31849B" w:themeColor="accent5" w:themeShade="BF"/>
          <w:bdr w:val="none" w:sz="0" w:space="0" w:color="auto" w:frame="1"/>
        </w:rPr>
        <w:t>2</w:t>
      </w:r>
      <w:r w:rsidRPr="00495903">
        <w:rPr>
          <w:rStyle w:val="afe"/>
          <w:bCs w:val="0"/>
          <w:color w:val="31849B" w:themeColor="accent5" w:themeShade="BF"/>
          <w:bdr w:val="none" w:sz="0" w:space="0" w:color="auto" w:frame="1"/>
        </w:rPr>
        <w:t xml:space="preserve"> настоящей Рекомендации</w:t>
      </w:r>
      <w:r w:rsidRPr="002467B5">
        <w:rPr>
          <w:color w:val="31849B" w:themeColor="accent5" w:themeShade="BF"/>
        </w:rPr>
        <w:t>. Если физич</w:t>
      </w:r>
      <w:r w:rsidRPr="002467B5">
        <w:rPr>
          <w:color w:val="31849B" w:themeColor="accent5" w:themeShade="BF"/>
        </w:rPr>
        <w:t>е</w:t>
      </w:r>
      <w:r w:rsidRPr="002467B5">
        <w:rPr>
          <w:color w:val="31849B" w:themeColor="accent5" w:themeShade="BF"/>
        </w:rPr>
        <w:t>ски совершенно одинаковые основные средства эксплуатируются в разных условиях, то для целей настояще</w:t>
      </w:r>
      <w:r w:rsidR="00CB2591">
        <w:rPr>
          <w:color w:val="31849B" w:themeColor="accent5" w:themeShade="BF"/>
        </w:rPr>
        <w:t>й</w:t>
      </w:r>
      <w:r w:rsidRPr="002467B5">
        <w:rPr>
          <w:color w:val="31849B" w:themeColor="accent5" w:themeShade="BF"/>
        </w:rPr>
        <w:t xml:space="preserve"> </w:t>
      </w:r>
      <w:r w:rsidR="00CB2591">
        <w:rPr>
          <w:color w:val="31849B" w:themeColor="accent5" w:themeShade="BF"/>
        </w:rPr>
        <w:t>Рекомендации</w:t>
      </w:r>
      <w:r w:rsidRPr="002467B5">
        <w:rPr>
          <w:color w:val="31849B" w:themeColor="accent5" w:themeShade="BF"/>
        </w:rPr>
        <w:t xml:space="preserve"> их следует считать группами </w:t>
      </w:r>
      <w:r w:rsidR="00CB2591">
        <w:rPr>
          <w:color w:val="31849B" w:themeColor="accent5" w:themeShade="BF"/>
        </w:rPr>
        <w:t>основных средств</w:t>
      </w:r>
      <w:r w:rsidRPr="002467B5">
        <w:rPr>
          <w:color w:val="31849B" w:themeColor="accent5" w:themeShade="BF"/>
        </w:rPr>
        <w:t>, о</w:t>
      </w:r>
      <w:r w:rsidRPr="002467B5">
        <w:rPr>
          <w:color w:val="31849B" w:themeColor="accent5" w:themeShade="BF"/>
        </w:rPr>
        <w:t>б</w:t>
      </w:r>
      <w:r w:rsidRPr="002467B5">
        <w:rPr>
          <w:color w:val="31849B" w:themeColor="accent5" w:themeShade="BF"/>
        </w:rPr>
        <w:t>ладающих разными амортизационными характеристиками.</w:t>
      </w:r>
    </w:p>
    <w:p w:rsidR="006829C7" w:rsidRPr="00932402" w:rsidRDefault="006829C7" w:rsidP="00932402">
      <w:pPr>
        <w:pStyle w:val="af9"/>
        <w:shd w:val="clear" w:color="auto" w:fill="FFFFFF"/>
        <w:spacing w:before="360" w:beforeAutospacing="0" w:after="0" w:afterAutospacing="0"/>
        <w:jc w:val="both"/>
        <w:textAlignment w:val="baseline"/>
        <w:rPr>
          <w:rStyle w:val="afe"/>
          <w:bdr w:val="none" w:sz="0" w:space="0" w:color="auto" w:frame="1"/>
        </w:rPr>
      </w:pPr>
      <w:r w:rsidRPr="002467B5">
        <w:rPr>
          <w:rStyle w:val="afe"/>
          <w:color w:val="C00000"/>
          <w:bdr w:val="none" w:sz="0" w:space="0" w:color="auto" w:frame="1"/>
        </w:rPr>
        <w:t>ОСНОВА ДЛЯ ВЫВОДОВ 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Определение СПИ при принятии объекта основных средств к бухгалтерскому учету согла</w:t>
      </w:r>
      <w:r w:rsidRPr="002467B5">
        <w:rPr>
          <w:color w:val="46473A"/>
        </w:rPr>
        <w:t>с</w:t>
      </w:r>
      <w:r w:rsidRPr="002467B5">
        <w:rPr>
          <w:color w:val="46473A"/>
        </w:rPr>
        <w:t>но первому абзацу </w:t>
      </w:r>
      <w:r w:rsidRPr="002467B5">
        <w:rPr>
          <w:rStyle w:val="afe"/>
          <w:color w:val="46473A"/>
          <w:bdr w:val="none" w:sz="0" w:space="0" w:color="auto" w:frame="1"/>
        </w:rPr>
        <w:t>пункта 20 ПБУ 6/01</w:t>
      </w:r>
      <w:r w:rsidRPr="002467B5">
        <w:rPr>
          <w:color w:val="46473A"/>
        </w:rPr>
        <w:t> не может трактоваться как окончательное, хотя бы в силу того, что в последнем абзаце этого же пункта указан случай изменения СПИ.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Но и этот случай не может рассматриваться как единственно возможный, поскольку фо</w:t>
      </w:r>
      <w:r w:rsidRPr="002467B5">
        <w:rPr>
          <w:color w:val="46473A"/>
        </w:rPr>
        <w:t>р</w:t>
      </w:r>
      <w:r w:rsidRPr="002467B5">
        <w:rPr>
          <w:color w:val="46473A"/>
        </w:rPr>
        <w:t>мулировки норм об этом не свидетельствуют. В противном случае в </w:t>
      </w:r>
      <w:r w:rsidRPr="002467B5">
        <w:rPr>
          <w:rStyle w:val="afe"/>
          <w:color w:val="46473A"/>
          <w:bdr w:val="none" w:sz="0" w:space="0" w:color="auto" w:frame="1"/>
        </w:rPr>
        <w:t>разделе III ПБУ 6/01</w:t>
      </w:r>
      <w:r w:rsidRPr="002467B5">
        <w:rPr>
          <w:color w:val="46473A"/>
        </w:rPr>
        <w:t> должна была присутствовать норма, аналогичная </w:t>
      </w:r>
      <w:r w:rsidRPr="002467B5">
        <w:rPr>
          <w:rStyle w:val="afe"/>
          <w:color w:val="46473A"/>
          <w:bdr w:val="none" w:sz="0" w:space="0" w:color="auto" w:frame="1"/>
        </w:rPr>
        <w:t>пункту 14 ПБУ 6/01</w:t>
      </w:r>
      <w:r w:rsidRPr="002467B5">
        <w:rPr>
          <w:color w:val="46473A"/>
        </w:rPr>
        <w:t>, согласно кот</w:t>
      </w:r>
      <w:r w:rsidRPr="002467B5">
        <w:rPr>
          <w:color w:val="46473A"/>
        </w:rPr>
        <w:t>о</w:t>
      </w:r>
      <w:r w:rsidRPr="002467B5">
        <w:rPr>
          <w:color w:val="46473A"/>
        </w:rPr>
        <w:t>рому стоимость основных средств, в которой они приняты к бухгалтерскому учёту, не по</w:t>
      </w:r>
      <w:r w:rsidRPr="002467B5">
        <w:rPr>
          <w:color w:val="46473A"/>
        </w:rPr>
        <w:t>д</w:t>
      </w:r>
      <w:r w:rsidRPr="002467B5">
        <w:rPr>
          <w:color w:val="46473A"/>
        </w:rPr>
        <w:t>лежит изменению, кроме специально названных случаев.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Стоимость объекта наряду с его сроком полезного использования является бухгалтерским параметром основного средства, определяемым при принятии объекта к бухгалтерскому учету. Наличие ограничений по дальнейшему изменению стоимости и отсутствие анал</w:t>
      </w:r>
      <w:r w:rsidRPr="002467B5">
        <w:rPr>
          <w:color w:val="46473A"/>
        </w:rPr>
        <w:t>о</w:t>
      </w:r>
      <w:r w:rsidRPr="002467B5">
        <w:rPr>
          <w:color w:val="46473A"/>
        </w:rPr>
        <w:t>гичных ограничений по дальнейшему изменению СПИ свидетельствует о том, что СПИ в отличие от первоначальной стоимости рассматривается как постоянно меняющаяся хара</w:t>
      </w:r>
      <w:r w:rsidRPr="002467B5">
        <w:rPr>
          <w:color w:val="46473A"/>
        </w:rPr>
        <w:t>к</w:t>
      </w:r>
      <w:r w:rsidRPr="002467B5">
        <w:rPr>
          <w:color w:val="46473A"/>
        </w:rPr>
        <w:t>теристика.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В том же</w:t>
      </w:r>
      <w:r w:rsidRPr="002467B5">
        <w:rPr>
          <w:rStyle w:val="afe"/>
          <w:color w:val="46473A"/>
          <w:bdr w:val="none" w:sz="0" w:space="0" w:color="auto" w:frame="1"/>
        </w:rPr>
        <w:t> пункте 20 ПБУ 6/01</w:t>
      </w:r>
      <w:r w:rsidRPr="002467B5">
        <w:rPr>
          <w:color w:val="46473A"/>
        </w:rPr>
        <w:t> перечислены параметры, которыми организация должна обосновывать определение СПИ основных средств: ожидаемый срок использования объе</w:t>
      </w:r>
      <w:r w:rsidRPr="002467B5">
        <w:rPr>
          <w:color w:val="46473A"/>
        </w:rPr>
        <w:t>к</w:t>
      </w:r>
      <w:r w:rsidRPr="002467B5">
        <w:rPr>
          <w:color w:val="46473A"/>
        </w:rPr>
        <w:t>та в соответствии с ожидаемой производительностью или мощностью, ожидаемый физич</w:t>
      </w:r>
      <w:r w:rsidRPr="002467B5">
        <w:rPr>
          <w:color w:val="46473A"/>
        </w:rPr>
        <w:t>е</w:t>
      </w:r>
      <w:r w:rsidRPr="002467B5">
        <w:rPr>
          <w:color w:val="46473A"/>
        </w:rPr>
        <w:t>ский износ, зависящий от режима эксплуатации (количества смен), естественных условий и влияния агрессивной среды, системы проведения ремонта; нормативно-правовые и другие ограничения использования этого объекта (например, срок аренды). Ни один из указанных параметров не является статичным. Все они постоянно меняются в ходе ведения хозяйс</w:t>
      </w:r>
      <w:r w:rsidRPr="002467B5">
        <w:rPr>
          <w:color w:val="46473A"/>
        </w:rPr>
        <w:t>т</w:t>
      </w:r>
      <w:r w:rsidRPr="002467B5">
        <w:rPr>
          <w:color w:val="46473A"/>
        </w:rPr>
        <w:t>венной деятельности организацией, и в течение СПИ одного объекта они могут поменяться неоднократно. В этой связи было бы нелогичным предполагать, что ПБУ требует прин</w:t>
      </w:r>
      <w:r w:rsidRPr="002467B5">
        <w:rPr>
          <w:color w:val="46473A"/>
        </w:rPr>
        <w:t>и</w:t>
      </w:r>
      <w:r w:rsidRPr="002467B5">
        <w:rPr>
          <w:color w:val="46473A"/>
        </w:rPr>
        <w:lastRenderedPageBreak/>
        <w:t>мать во внимание данные параметры только в начале эксплуатации объекта и игнорировать текущие данные.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СПИ основных средств прямо назван в качестве примера оценочного значения в </w:t>
      </w:r>
      <w:r w:rsidRPr="002467B5">
        <w:rPr>
          <w:rStyle w:val="afe"/>
          <w:color w:val="46473A"/>
          <w:bdr w:val="none" w:sz="0" w:space="0" w:color="auto" w:frame="1"/>
        </w:rPr>
        <w:t>пункте 3 ПБУ 21/08</w:t>
      </w:r>
      <w:r w:rsidRPr="002467B5">
        <w:rPr>
          <w:color w:val="46473A"/>
        </w:rPr>
        <w:t>. В </w:t>
      </w:r>
      <w:r w:rsidRPr="002467B5">
        <w:rPr>
          <w:rStyle w:val="afe"/>
          <w:color w:val="46473A"/>
          <w:bdr w:val="none" w:sz="0" w:space="0" w:color="auto" w:frame="1"/>
        </w:rPr>
        <w:t>пункте 2 того же ПБУ 21/08</w:t>
      </w:r>
      <w:r w:rsidR="00CC2266">
        <w:rPr>
          <w:rStyle w:val="afe"/>
          <w:color w:val="46473A"/>
          <w:bdr w:val="none" w:sz="0" w:space="0" w:color="auto" w:frame="1"/>
        </w:rPr>
        <w:t xml:space="preserve"> </w:t>
      </w:r>
      <w:r w:rsidRPr="002467B5">
        <w:rPr>
          <w:color w:val="46473A"/>
        </w:rPr>
        <w:t>корректировка величины, отражающей погаш</w:t>
      </w:r>
      <w:r w:rsidRPr="002467B5">
        <w:rPr>
          <w:color w:val="46473A"/>
        </w:rPr>
        <w:t>е</w:t>
      </w:r>
      <w:r w:rsidRPr="002467B5">
        <w:rPr>
          <w:color w:val="46473A"/>
        </w:rPr>
        <w:t>ние стоимости актива, названа в качестве примера изменения оценочного значения. Такая корректировка обусловлена появлением новой информации, которая производится исходя из оценки существующего положения дел в организации, ожидаемых будущих выгод. В ц</w:t>
      </w:r>
      <w:r w:rsidRPr="002467B5">
        <w:rPr>
          <w:color w:val="46473A"/>
        </w:rPr>
        <w:t>е</w:t>
      </w:r>
      <w:r w:rsidRPr="002467B5">
        <w:rPr>
          <w:color w:val="46473A"/>
        </w:rPr>
        <w:t>лях правильного понимания положений нормативных актов следует исходить из такого в</w:t>
      </w:r>
      <w:r w:rsidRPr="002467B5">
        <w:rPr>
          <w:color w:val="46473A"/>
        </w:rPr>
        <w:t>а</w:t>
      </w:r>
      <w:r w:rsidRPr="002467B5">
        <w:rPr>
          <w:color w:val="46473A"/>
        </w:rPr>
        <w:t>рианта их толкования, который снимает противоречия и разночтения.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Указанные нормы ПБУ 21/08 не противоречат ПБУ 6/01 только при условии, что отсутс</w:t>
      </w:r>
      <w:r w:rsidRPr="002467B5">
        <w:rPr>
          <w:color w:val="46473A"/>
        </w:rPr>
        <w:t>т</w:t>
      </w:r>
      <w:r w:rsidRPr="002467B5">
        <w:rPr>
          <w:color w:val="46473A"/>
        </w:rPr>
        <w:t>вие положений об изменении СПИ в ПБУ 6/01 в течение эксплуатации ОС рассматривается не как запрет на такое изменение, а напротив — как необходимость такого изменения.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При ином толковании ПБУ 21 противоречит ПБУ 6.</w:t>
      </w:r>
    </w:p>
    <w:p w:rsidR="00932402" w:rsidRPr="00932402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В соответствии с </w:t>
      </w:r>
      <w:r w:rsidRPr="002467B5">
        <w:rPr>
          <w:rStyle w:val="afe"/>
          <w:color w:val="46473A"/>
          <w:bdr w:val="none" w:sz="0" w:space="0" w:color="auto" w:frame="1"/>
        </w:rPr>
        <w:t>пунктом 7</w:t>
      </w:r>
      <w:r w:rsidR="00932402">
        <w:rPr>
          <w:rStyle w:val="afe"/>
          <w:color w:val="46473A"/>
          <w:bdr w:val="none" w:sz="0" w:space="0" w:color="auto" w:frame="1"/>
        </w:rPr>
        <w:t>.1</w:t>
      </w:r>
      <w:r w:rsidRPr="002467B5">
        <w:rPr>
          <w:rStyle w:val="afe"/>
          <w:color w:val="46473A"/>
          <w:bdr w:val="none" w:sz="0" w:space="0" w:color="auto" w:frame="1"/>
        </w:rPr>
        <w:t xml:space="preserve"> ПБУ 1/08</w:t>
      </w:r>
      <w:r w:rsidRPr="002467B5">
        <w:rPr>
          <w:color w:val="46473A"/>
        </w:rPr>
        <w:t xml:space="preserve"> </w:t>
      </w:r>
      <w:r w:rsidR="00932402">
        <w:rPr>
          <w:color w:val="46473A"/>
        </w:rPr>
        <w:t>в</w:t>
      </w:r>
      <w:r w:rsidR="00932402" w:rsidRPr="00932402">
        <w:rPr>
          <w:color w:val="46473A"/>
        </w:rPr>
        <w:t xml:space="preserve"> случае если по конкретному вопросу ведения бухгалтерского учета в федеральных стандартах бухгалтерского учета не установлены сп</w:t>
      </w:r>
      <w:r w:rsidR="00932402" w:rsidRPr="00932402">
        <w:rPr>
          <w:color w:val="46473A"/>
        </w:rPr>
        <w:t>о</w:t>
      </w:r>
      <w:r w:rsidR="00932402" w:rsidRPr="00932402">
        <w:rPr>
          <w:color w:val="46473A"/>
        </w:rPr>
        <w:t>собы ведения бухгалтерского учета, то организация разрабатывает соответствующий сп</w:t>
      </w:r>
      <w:r w:rsidR="00932402" w:rsidRPr="00932402">
        <w:rPr>
          <w:color w:val="46473A"/>
        </w:rPr>
        <w:t>о</w:t>
      </w:r>
      <w:r w:rsidR="00932402" w:rsidRPr="00932402">
        <w:rPr>
          <w:color w:val="46473A"/>
        </w:rPr>
        <w:t>соб исходя из требований, установленных законодательством Российской Федерации о бу</w:t>
      </w:r>
      <w:r w:rsidR="00932402" w:rsidRPr="00932402">
        <w:rPr>
          <w:color w:val="46473A"/>
        </w:rPr>
        <w:t>х</w:t>
      </w:r>
      <w:r w:rsidR="00932402" w:rsidRPr="00932402">
        <w:rPr>
          <w:color w:val="46473A"/>
        </w:rPr>
        <w:t>галтерском учете, федеральными и (или) отраслевыми стандартами. При этом организация, основываясь на допущениях и требованиях, приведенных в пунктах 5 и 6 настоящего П</w:t>
      </w:r>
      <w:r w:rsidR="00932402" w:rsidRPr="00932402">
        <w:rPr>
          <w:color w:val="46473A"/>
        </w:rPr>
        <w:t>о</w:t>
      </w:r>
      <w:r w:rsidR="00932402" w:rsidRPr="00932402">
        <w:rPr>
          <w:color w:val="46473A"/>
        </w:rPr>
        <w:t>ложения, использует последовательно следующие документы:</w:t>
      </w:r>
    </w:p>
    <w:p w:rsidR="00932402" w:rsidRPr="00932402" w:rsidRDefault="00932402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932402">
        <w:rPr>
          <w:color w:val="46473A"/>
        </w:rPr>
        <w:t>а) международные стандарты финансовой отчетности;</w:t>
      </w:r>
    </w:p>
    <w:p w:rsidR="00932402" w:rsidRPr="00932402" w:rsidRDefault="00932402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932402">
        <w:rPr>
          <w:color w:val="46473A"/>
        </w:rPr>
        <w:t>б) положения федеральных и (или) отраслевых стандартов бухгалтерского учета по анал</w:t>
      </w:r>
      <w:r w:rsidRPr="00932402">
        <w:rPr>
          <w:color w:val="46473A"/>
        </w:rPr>
        <w:t>о</w:t>
      </w:r>
      <w:r w:rsidRPr="00932402">
        <w:rPr>
          <w:color w:val="46473A"/>
        </w:rPr>
        <w:t>гичным и (или) связанным вопросам;</w:t>
      </w:r>
    </w:p>
    <w:p w:rsidR="006829C7" w:rsidRPr="002467B5" w:rsidRDefault="00932402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932402">
        <w:rPr>
          <w:color w:val="46473A"/>
        </w:rPr>
        <w:t>в) рекомендации в области бухгалтерского учета.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В рассматриваемой ситуации при отсутствии специальных правил в ПБУ 6/01 оба источн</w:t>
      </w:r>
      <w:r w:rsidRPr="002467B5">
        <w:rPr>
          <w:color w:val="46473A"/>
        </w:rPr>
        <w:t>и</w:t>
      </w:r>
      <w:r w:rsidRPr="002467B5">
        <w:rPr>
          <w:color w:val="46473A"/>
        </w:rPr>
        <w:t xml:space="preserve">ка, </w:t>
      </w:r>
      <w:r w:rsidR="005C7DCD" w:rsidRPr="002467B5">
        <w:rPr>
          <w:color w:val="46473A"/>
        </w:rPr>
        <w:t>названны</w:t>
      </w:r>
      <w:r w:rsidR="005C7DCD">
        <w:rPr>
          <w:color w:val="46473A"/>
        </w:rPr>
        <w:t>е</w:t>
      </w:r>
      <w:r w:rsidR="005C7DCD" w:rsidRPr="002467B5">
        <w:rPr>
          <w:color w:val="46473A"/>
        </w:rPr>
        <w:t xml:space="preserve"> </w:t>
      </w:r>
      <w:r w:rsidR="005C7DCD">
        <w:rPr>
          <w:color w:val="46473A"/>
        </w:rPr>
        <w:t>в подпунктах а) и б)</w:t>
      </w:r>
      <w:r w:rsidRPr="002467B5">
        <w:rPr>
          <w:color w:val="46473A"/>
        </w:rPr>
        <w:t>, приводят к одинаковому решению — необходимости регулярного пересмотра СПИ основных средств.</w:t>
      </w:r>
    </w:p>
    <w:p w:rsidR="005C7DCD" w:rsidRPr="002467B5" w:rsidRDefault="005C7DCD" w:rsidP="005C7DCD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Международная практика бухгалтерского учёта, формализованная в международных ста</w:t>
      </w:r>
      <w:r w:rsidRPr="002467B5">
        <w:rPr>
          <w:color w:val="46473A"/>
        </w:rPr>
        <w:t>н</w:t>
      </w:r>
      <w:r w:rsidRPr="002467B5">
        <w:rPr>
          <w:color w:val="46473A"/>
        </w:rPr>
        <w:t>дартах финансовой отчётности (МСФО), строится на необходимости регулярного пер</w:t>
      </w:r>
      <w:r w:rsidRPr="002467B5">
        <w:rPr>
          <w:color w:val="46473A"/>
        </w:rPr>
        <w:t>е</w:t>
      </w:r>
      <w:r w:rsidRPr="002467B5">
        <w:rPr>
          <w:color w:val="46473A"/>
        </w:rPr>
        <w:t>смотра СПИ основных средств, что закреплено в § 51 IAS 16 «Основные средства». При о</w:t>
      </w:r>
      <w:r w:rsidRPr="002467B5">
        <w:rPr>
          <w:color w:val="46473A"/>
        </w:rPr>
        <w:t>т</w:t>
      </w:r>
      <w:r w:rsidRPr="002467B5">
        <w:rPr>
          <w:color w:val="46473A"/>
        </w:rPr>
        <w:t>сутствии специальных правил в </w:t>
      </w:r>
      <w:r w:rsidRPr="002467B5">
        <w:rPr>
          <w:rStyle w:val="afe"/>
          <w:color w:val="46473A"/>
          <w:bdr w:val="none" w:sz="0" w:space="0" w:color="auto" w:frame="1"/>
        </w:rPr>
        <w:t>ПБУ 6/01</w:t>
      </w:r>
      <w:r w:rsidRPr="002467B5">
        <w:rPr>
          <w:color w:val="46473A"/>
        </w:rPr>
        <w:t>, организация, согласно </w:t>
      </w:r>
      <w:r w:rsidRPr="002467B5">
        <w:rPr>
          <w:rStyle w:val="afe"/>
          <w:color w:val="46473A"/>
          <w:bdr w:val="none" w:sz="0" w:space="0" w:color="auto" w:frame="1"/>
        </w:rPr>
        <w:t>пункту 7</w:t>
      </w:r>
      <w:r>
        <w:rPr>
          <w:rStyle w:val="afe"/>
          <w:color w:val="46473A"/>
          <w:bdr w:val="none" w:sz="0" w:space="0" w:color="auto" w:frame="1"/>
        </w:rPr>
        <w:t>.1</w:t>
      </w:r>
      <w:r w:rsidRPr="002467B5">
        <w:rPr>
          <w:rStyle w:val="afe"/>
          <w:color w:val="46473A"/>
          <w:bdr w:val="none" w:sz="0" w:space="0" w:color="auto" w:frame="1"/>
        </w:rPr>
        <w:t xml:space="preserve"> ПБУ 1/08</w:t>
      </w:r>
      <w:r w:rsidRPr="002467B5">
        <w:rPr>
          <w:color w:val="46473A"/>
        </w:rPr>
        <w:t>, должна руково</w:t>
      </w:r>
      <w:r>
        <w:rPr>
          <w:color w:val="46473A"/>
        </w:rPr>
        <w:t>дствоваться нормами МСФО.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В соответствии с </w:t>
      </w:r>
      <w:r w:rsidRPr="002467B5">
        <w:rPr>
          <w:rStyle w:val="afe"/>
          <w:color w:val="46473A"/>
          <w:bdr w:val="none" w:sz="0" w:space="0" w:color="auto" w:frame="1"/>
        </w:rPr>
        <w:t>пунктом 27 ПБУ 14/07</w:t>
      </w:r>
      <w:r w:rsidRPr="002467B5">
        <w:rPr>
          <w:color w:val="46473A"/>
        </w:rPr>
        <w:t>, срок полезного использования нематериального актива ежегодно проверяется организацией на необходимость его уточнения. В случае с</w:t>
      </w:r>
      <w:r w:rsidRPr="002467B5">
        <w:rPr>
          <w:color w:val="46473A"/>
        </w:rPr>
        <w:t>у</w:t>
      </w:r>
      <w:r w:rsidRPr="002467B5">
        <w:rPr>
          <w:color w:val="46473A"/>
        </w:rPr>
        <w:t>щественного изменения продолжительности периода, в течение которого организация предполагает использовать актив, срок его полезного использования подлежит уточнению. Возникшие в связи с этим корректировки отражаются в бухгалтерском учете и бухгалте</w:t>
      </w:r>
      <w:r w:rsidRPr="002467B5">
        <w:rPr>
          <w:color w:val="46473A"/>
        </w:rPr>
        <w:t>р</w:t>
      </w:r>
      <w:r w:rsidRPr="002467B5">
        <w:rPr>
          <w:color w:val="46473A"/>
        </w:rPr>
        <w:t>ской отчетности на начало отчетного года как изменения в оценочных значениях.</w:t>
      </w:r>
    </w:p>
    <w:p w:rsidR="006829C7" w:rsidRPr="002467B5" w:rsidRDefault="006829C7" w:rsidP="00932402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 w:rsidRPr="002467B5">
        <w:rPr>
          <w:color w:val="46473A"/>
        </w:rPr>
        <w:t>Организация обязана применить данную норму ПБУ 14/07 в отношении основных средств, как аналогичную, в связи с тем, что данный вопрос в ПБУ 6/01 не рассматривается.</w:t>
      </w:r>
    </w:p>
    <w:p w:rsidR="005C7DCD" w:rsidRPr="002467B5" w:rsidRDefault="005C7DCD">
      <w:pPr>
        <w:pStyle w:val="af9"/>
        <w:shd w:val="clear" w:color="auto" w:fill="FFFFFF"/>
        <w:spacing w:before="120" w:beforeAutospacing="0" w:after="0" w:afterAutospacing="0"/>
        <w:jc w:val="both"/>
        <w:textAlignment w:val="baseline"/>
        <w:rPr>
          <w:color w:val="46473A"/>
        </w:rPr>
      </w:pPr>
      <w:r>
        <w:rPr>
          <w:color w:val="46473A"/>
        </w:rPr>
        <w:t>Третьим источником, названным в подпункте в) пункта 7.1 ПБУ 1/08,</w:t>
      </w:r>
      <w:r w:rsidRPr="002467B5">
        <w:rPr>
          <w:color w:val="46473A"/>
        </w:rPr>
        <w:t xml:space="preserve"> </w:t>
      </w:r>
      <w:r>
        <w:rPr>
          <w:color w:val="46473A"/>
        </w:rPr>
        <w:t xml:space="preserve">является </w:t>
      </w:r>
      <w:r w:rsidRPr="006862CF">
        <w:rPr>
          <w:color w:val="46473A"/>
        </w:rPr>
        <w:t>настоящ</w:t>
      </w:r>
      <w:r>
        <w:rPr>
          <w:color w:val="46473A"/>
        </w:rPr>
        <w:t>ая</w:t>
      </w:r>
      <w:r w:rsidRPr="006862CF">
        <w:rPr>
          <w:color w:val="46473A"/>
        </w:rPr>
        <w:t xml:space="preserve"> Рекомендаци</w:t>
      </w:r>
      <w:r>
        <w:rPr>
          <w:color w:val="46473A"/>
        </w:rPr>
        <w:t>я.</w:t>
      </w:r>
    </w:p>
    <w:sectPr w:rsidR="005C7DCD" w:rsidRPr="002467B5" w:rsidSect="00732C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70" w:rsidRDefault="00D62770" w:rsidP="003F7FE8">
      <w:pPr>
        <w:spacing w:after="0" w:line="240" w:lineRule="auto"/>
      </w:pPr>
      <w:r>
        <w:separator/>
      </w:r>
    </w:p>
  </w:endnote>
  <w:endnote w:type="continuationSeparator" w:id="0">
    <w:p w:rsidR="00D62770" w:rsidRDefault="00D62770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Default="00AB5DFC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F2262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AB5DFC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F226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70" w:rsidRDefault="00D62770" w:rsidP="003F7FE8">
      <w:pPr>
        <w:spacing w:after="0" w:line="240" w:lineRule="auto"/>
      </w:pPr>
      <w:r>
        <w:separator/>
      </w:r>
    </w:p>
  </w:footnote>
  <w:footnote w:type="continuationSeparator" w:id="0">
    <w:p w:rsidR="00D62770" w:rsidRDefault="00D62770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Pr="00CE0181" w:rsidRDefault="00324504">
    <w:pPr>
      <w:pStyle w:val="af5"/>
      <w:jc w:val="center"/>
      <w:rPr>
        <w:rFonts w:ascii="Times New Roman CYR" w:hAnsi="Times New Roman CYR"/>
        <w:sz w:val="28"/>
      </w:rPr>
    </w:pPr>
  </w:p>
  <w:p w:rsidR="00324504" w:rsidRPr="00CE0181" w:rsidRDefault="00324504">
    <w:pPr>
      <w:pStyle w:val="af5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B5272F">
    <w:pPr>
      <w:pStyle w:val="af5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C9F"/>
    <w:multiLevelType w:val="multilevel"/>
    <w:tmpl w:val="589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0668"/>
    <w:multiLevelType w:val="hybridMultilevel"/>
    <w:tmpl w:val="DD465480"/>
    <w:lvl w:ilvl="0" w:tplc="4066EB9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1618"/>
    <w:multiLevelType w:val="multilevel"/>
    <w:tmpl w:val="788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7541"/>
    <w:multiLevelType w:val="hybridMultilevel"/>
    <w:tmpl w:val="CD4C5AEC"/>
    <w:lvl w:ilvl="0" w:tplc="4830A9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E6D0B88"/>
    <w:multiLevelType w:val="multilevel"/>
    <w:tmpl w:val="480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772E2"/>
    <w:multiLevelType w:val="multilevel"/>
    <w:tmpl w:val="4B1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C7384C"/>
    <w:multiLevelType w:val="hybridMultilevel"/>
    <w:tmpl w:val="09A6924C"/>
    <w:lvl w:ilvl="0" w:tplc="D7C63E2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192A"/>
    <w:multiLevelType w:val="multilevel"/>
    <w:tmpl w:val="114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266AA"/>
    <w:multiLevelType w:val="multilevel"/>
    <w:tmpl w:val="A8F6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B6F25"/>
    <w:multiLevelType w:val="multilevel"/>
    <w:tmpl w:val="5F0C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82471"/>
    <w:multiLevelType w:val="multilevel"/>
    <w:tmpl w:val="8D2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C2F78"/>
    <w:multiLevelType w:val="hybridMultilevel"/>
    <w:tmpl w:val="65DE7D22"/>
    <w:lvl w:ilvl="0" w:tplc="97EC9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196781"/>
    <w:multiLevelType w:val="hybridMultilevel"/>
    <w:tmpl w:val="4D82C4C6"/>
    <w:lvl w:ilvl="0" w:tplc="9040790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4BD3"/>
    <w:multiLevelType w:val="multilevel"/>
    <w:tmpl w:val="31B4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F43A0"/>
    <w:multiLevelType w:val="multilevel"/>
    <w:tmpl w:val="3596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C0CA0"/>
    <w:multiLevelType w:val="multilevel"/>
    <w:tmpl w:val="03E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232E4B"/>
    <w:multiLevelType w:val="multilevel"/>
    <w:tmpl w:val="40AC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E6995"/>
    <w:multiLevelType w:val="multilevel"/>
    <w:tmpl w:val="836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6F2C99"/>
    <w:multiLevelType w:val="multilevel"/>
    <w:tmpl w:val="697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750B39"/>
    <w:multiLevelType w:val="multilevel"/>
    <w:tmpl w:val="80A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96602"/>
    <w:multiLevelType w:val="hybridMultilevel"/>
    <w:tmpl w:val="5B6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85D95"/>
    <w:multiLevelType w:val="multilevel"/>
    <w:tmpl w:val="C812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95506"/>
    <w:multiLevelType w:val="multilevel"/>
    <w:tmpl w:val="1310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C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2828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5417B"/>
    <w:multiLevelType w:val="multilevel"/>
    <w:tmpl w:val="9A1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14F3F"/>
    <w:multiLevelType w:val="multilevel"/>
    <w:tmpl w:val="E8B4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67A27"/>
    <w:multiLevelType w:val="hybridMultilevel"/>
    <w:tmpl w:val="10F255F2"/>
    <w:lvl w:ilvl="0" w:tplc="9040790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43A46"/>
    <w:multiLevelType w:val="hybridMultilevel"/>
    <w:tmpl w:val="EB2A2F8A"/>
    <w:lvl w:ilvl="0" w:tplc="4C98B49A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A4491"/>
    <w:multiLevelType w:val="hybridMultilevel"/>
    <w:tmpl w:val="241A57D0"/>
    <w:lvl w:ilvl="0" w:tplc="9040790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32"/>
  </w:num>
  <w:num w:numId="4">
    <w:abstractNumId w:val="40"/>
  </w:num>
  <w:num w:numId="5">
    <w:abstractNumId w:val="27"/>
  </w:num>
  <w:num w:numId="6">
    <w:abstractNumId w:val="36"/>
  </w:num>
  <w:num w:numId="7">
    <w:abstractNumId w:val="37"/>
  </w:num>
  <w:num w:numId="8">
    <w:abstractNumId w:val="28"/>
  </w:num>
  <w:num w:numId="9">
    <w:abstractNumId w:val="31"/>
  </w:num>
  <w:num w:numId="10">
    <w:abstractNumId w:val="44"/>
  </w:num>
  <w:num w:numId="11">
    <w:abstractNumId w:val="24"/>
  </w:num>
  <w:num w:numId="12">
    <w:abstractNumId w:val="4"/>
  </w:num>
  <w:num w:numId="13">
    <w:abstractNumId w:val="2"/>
  </w:num>
  <w:num w:numId="14">
    <w:abstractNumId w:val="38"/>
  </w:num>
  <w:num w:numId="15">
    <w:abstractNumId w:val="13"/>
  </w:num>
  <w:num w:numId="16">
    <w:abstractNumId w:val="35"/>
  </w:num>
  <w:num w:numId="17">
    <w:abstractNumId w:val="30"/>
  </w:num>
  <w:num w:numId="18">
    <w:abstractNumId w:val="14"/>
  </w:num>
  <w:num w:numId="19">
    <w:abstractNumId w:val="1"/>
  </w:num>
  <w:num w:numId="20">
    <w:abstractNumId w:val="5"/>
  </w:num>
  <w:num w:numId="21">
    <w:abstractNumId w:val="33"/>
  </w:num>
  <w:num w:numId="22">
    <w:abstractNumId w:val="21"/>
  </w:num>
  <w:num w:numId="23">
    <w:abstractNumId w:val="18"/>
  </w:num>
  <w:num w:numId="24">
    <w:abstractNumId w:val="8"/>
  </w:num>
  <w:num w:numId="25">
    <w:abstractNumId w:val="0"/>
  </w:num>
  <w:num w:numId="26">
    <w:abstractNumId w:val="12"/>
  </w:num>
  <w:num w:numId="27">
    <w:abstractNumId w:val="7"/>
  </w:num>
  <w:num w:numId="28">
    <w:abstractNumId w:val="41"/>
  </w:num>
  <w:num w:numId="29">
    <w:abstractNumId w:val="10"/>
  </w:num>
  <w:num w:numId="30">
    <w:abstractNumId w:val="19"/>
  </w:num>
  <w:num w:numId="31">
    <w:abstractNumId w:val="6"/>
  </w:num>
  <w:num w:numId="32">
    <w:abstractNumId w:val="43"/>
  </w:num>
  <w:num w:numId="33">
    <w:abstractNumId w:val="11"/>
  </w:num>
  <w:num w:numId="34">
    <w:abstractNumId w:val="16"/>
  </w:num>
  <w:num w:numId="35">
    <w:abstractNumId w:val="26"/>
  </w:num>
  <w:num w:numId="36">
    <w:abstractNumId w:val="15"/>
  </w:num>
  <w:num w:numId="37">
    <w:abstractNumId w:val="3"/>
  </w:num>
  <w:num w:numId="38">
    <w:abstractNumId w:val="9"/>
  </w:num>
  <w:num w:numId="39">
    <w:abstractNumId w:val="20"/>
  </w:num>
  <w:num w:numId="40">
    <w:abstractNumId w:val="42"/>
  </w:num>
  <w:num w:numId="41">
    <w:abstractNumId w:val="29"/>
  </w:num>
  <w:num w:numId="42">
    <w:abstractNumId w:val="23"/>
  </w:num>
  <w:num w:numId="43">
    <w:abstractNumId w:val="34"/>
  </w:num>
  <w:num w:numId="44">
    <w:abstractNumId w:val="25"/>
  </w:num>
  <w:num w:numId="4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0C3"/>
    <w:rsid w:val="00094A5E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1AB8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48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7B5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15FF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5A15"/>
    <w:rsid w:val="0041767A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6A5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5903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BC5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5ED2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50FB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2905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3D2"/>
    <w:rsid w:val="005740F3"/>
    <w:rsid w:val="00574266"/>
    <w:rsid w:val="00575BD1"/>
    <w:rsid w:val="00577E89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DCD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989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59ED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23D3"/>
    <w:rsid w:val="006829C7"/>
    <w:rsid w:val="0068384B"/>
    <w:rsid w:val="006844F4"/>
    <w:rsid w:val="00685A4B"/>
    <w:rsid w:val="006862CF"/>
    <w:rsid w:val="00687B90"/>
    <w:rsid w:val="0069759E"/>
    <w:rsid w:val="006A0B83"/>
    <w:rsid w:val="006A1F30"/>
    <w:rsid w:val="006A29F8"/>
    <w:rsid w:val="006A31C5"/>
    <w:rsid w:val="006A3401"/>
    <w:rsid w:val="006A402C"/>
    <w:rsid w:val="006A4526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2C60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372AB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E7FEB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04F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2402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34E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55A2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4BC0"/>
    <w:rsid w:val="00A65692"/>
    <w:rsid w:val="00A6658C"/>
    <w:rsid w:val="00A71885"/>
    <w:rsid w:val="00A731E8"/>
    <w:rsid w:val="00A73B65"/>
    <w:rsid w:val="00A7428B"/>
    <w:rsid w:val="00A744B0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420"/>
    <w:rsid w:val="00AA09CD"/>
    <w:rsid w:val="00AA121C"/>
    <w:rsid w:val="00AA4D0D"/>
    <w:rsid w:val="00AA7BCE"/>
    <w:rsid w:val="00AB0A85"/>
    <w:rsid w:val="00AB0B10"/>
    <w:rsid w:val="00AB3D2D"/>
    <w:rsid w:val="00AB5584"/>
    <w:rsid w:val="00AB5DFC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65DE0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15A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4A1"/>
    <w:rsid w:val="00CB259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2266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627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13E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2A25"/>
    <w:rsid w:val="00D55DC3"/>
    <w:rsid w:val="00D56A92"/>
    <w:rsid w:val="00D56BEB"/>
    <w:rsid w:val="00D6030A"/>
    <w:rsid w:val="00D607B8"/>
    <w:rsid w:val="00D62758"/>
    <w:rsid w:val="00D62770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1CE8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A769A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262E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B0944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aff">
    <w:name w:val="Body Text"/>
    <w:basedOn w:val="a2"/>
    <w:link w:val="aff0"/>
    <w:uiPriority w:val="1"/>
    <w:qFormat/>
    <w:rsid w:val="00532905"/>
    <w:pPr>
      <w:widowControl w:val="0"/>
      <w:autoSpaceDE w:val="0"/>
      <w:autoSpaceDN w:val="0"/>
      <w:spacing w:after="0" w:line="240" w:lineRule="auto"/>
      <w:ind w:left="496"/>
    </w:pPr>
    <w:rPr>
      <w:rFonts w:ascii="Arial" w:eastAsia="Arial" w:hAnsi="Arial" w:cs="Arial"/>
      <w:lang w:bidi="ru-RU"/>
    </w:rPr>
  </w:style>
  <w:style w:type="character" w:customStyle="1" w:styleId="aff0">
    <w:name w:val="Основной текст Знак"/>
    <w:basedOn w:val="a3"/>
    <w:link w:val="aff"/>
    <w:uiPriority w:val="1"/>
    <w:rsid w:val="00532905"/>
    <w:rPr>
      <w:rFonts w:ascii="Arial" w:eastAsia="Arial" w:hAnsi="Arial" w:cs="Arial"/>
      <w:lang w:bidi="ru-RU"/>
    </w:rPr>
  </w:style>
  <w:style w:type="paragraph" w:customStyle="1" w:styleId="11">
    <w:name w:val="Заголовок 11"/>
    <w:basedOn w:val="a2"/>
    <w:uiPriority w:val="1"/>
    <w:qFormat/>
    <w:rsid w:val="00532905"/>
    <w:pPr>
      <w:widowControl w:val="0"/>
      <w:autoSpaceDE w:val="0"/>
      <w:autoSpaceDN w:val="0"/>
      <w:spacing w:after="0" w:line="240" w:lineRule="auto"/>
      <w:ind w:left="2006" w:right="1622"/>
      <w:jc w:val="center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1">
    <w:name w:val="Заголовок 21"/>
    <w:basedOn w:val="a2"/>
    <w:uiPriority w:val="1"/>
    <w:qFormat/>
    <w:rsid w:val="00532905"/>
    <w:pPr>
      <w:widowControl w:val="0"/>
      <w:autoSpaceDE w:val="0"/>
      <w:autoSpaceDN w:val="0"/>
      <w:spacing w:before="93" w:after="0" w:line="240" w:lineRule="auto"/>
      <w:ind w:left="440"/>
      <w:outlineLvl w:val="2"/>
    </w:pPr>
    <w:rPr>
      <w:rFonts w:ascii="Arial" w:eastAsia="Arial" w:hAnsi="Arial" w:cs="Arial"/>
      <w:b/>
      <w:bCs/>
      <w:lang w:bidi="ru-RU"/>
    </w:rPr>
  </w:style>
  <w:style w:type="paragraph" w:styleId="HTML">
    <w:name w:val="HTML Address"/>
    <w:basedOn w:val="a2"/>
    <w:link w:val="HTML0"/>
    <w:uiPriority w:val="99"/>
    <w:unhideWhenUsed/>
    <w:rsid w:val="0053290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3"/>
    <w:link w:val="HTML"/>
    <w:uiPriority w:val="99"/>
    <w:rsid w:val="0053290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PBU-21-200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518F-A06C-4400-A98C-7BF8FC53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2017-11-03T09:34:00Z</cp:lastPrinted>
  <dcterms:created xsi:type="dcterms:W3CDTF">2019-05-09T09:41:00Z</dcterms:created>
  <dcterms:modified xsi:type="dcterms:W3CDTF">2019-05-09T09:41:00Z</dcterms:modified>
</cp:coreProperties>
</file>