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4" w:rsidRPr="00DB08D4" w:rsidRDefault="00DB08D4" w:rsidP="00DB0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D4">
        <w:rPr>
          <w:rFonts w:ascii="Times New Roman" w:hAnsi="Times New Roman" w:cs="Times New Roman"/>
          <w:b/>
          <w:sz w:val="24"/>
          <w:szCs w:val="24"/>
        </w:rPr>
        <w:t>Предложения к проекту Федерального стандарт</w:t>
      </w:r>
      <w:r w:rsidR="00B05F18">
        <w:rPr>
          <w:rFonts w:ascii="Times New Roman" w:hAnsi="Times New Roman" w:cs="Times New Roman"/>
          <w:b/>
          <w:sz w:val="24"/>
          <w:szCs w:val="24"/>
        </w:rPr>
        <w:t>а бухгалтерского учета «Запасы»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3060"/>
        <w:gridCol w:w="3026"/>
        <w:gridCol w:w="2864"/>
      </w:tblGrid>
      <w:tr w:rsidR="00996A40" w:rsidRPr="00DB08D4" w:rsidTr="00996A40">
        <w:tc>
          <w:tcPr>
            <w:tcW w:w="1470" w:type="dxa"/>
          </w:tcPr>
          <w:p w:rsidR="00996A40" w:rsidRPr="00DB08D4" w:rsidRDefault="00996A40" w:rsidP="0026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8D4">
              <w:rPr>
                <w:rFonts w:ascii="Times New Roman" w:hAnsi="Times New Roman" w:cs="Times New Roman"/>
                <w:b/>
              </w:rPr>
              <w:t>Абзац, пункт, ра</w:t>
            </w:r>
            <w:r w:rsidRPr="00DB08D4">
              <w:rPr>
                <w:rFonts w:ascii="Times New Roman" w:hAnsi="Times New Roman" w:cs="Times New Roman"/>
                <w:b/>
              </w:rPr>
              <w:t>з</w:t>
            </w:r>
            <w:r w:rsidRPr="00DB08D4">
              <w:rPr>
                <w:rFonts w:ascii="Times New Roman" w:hAnsi="Times New Roman" w:cs="Times New Roman"/>
                <w:b/>
              </w:rPr>
              <w:t>дел проекта</w:t>
            </w:r>
          </w:p>
        </w:tc>
        <w:tc>
          <w:tcPr>
            <w:tcW w:w="3060" w:type="dxa"/>
          </w:tcPr>
          <w:p w:rsidR="00996A40" w:rsidRPr="00DB08D4" w:rsidRDefault="00996A40" w:rsidP="0026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8D4">
              <w:rPr>
                <w:rFonts w:ascii="Times New Roman" w:hAnsi="Times New Roman" w:cs="Times New Roman"/>
                <w:b/>
              </w:rPr>
              <w:t>Содержание замечания или предложения (предлагаемая редакция)</w:t>
            </w:r>
          </w:p>
        </w:tc>
        <w:tc>
          <w:tcPr>
            <w:tcW w:w="3026" w:type="dxa"/>
          </w:tcPr>
          <w:p w:rsidR="00996A40" w:rsidRPr="00DB08D4" w:rsidRDefault="00996A40" w:rsidP="0026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8D4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  <w:tc>
          <w:tcPr>
            <w:tcW w:w="2864" w:type="dxa"/>
          </w:tcPr>
          <w:p w:rsidR="00996A40" w:rsidRPr="0024405D" w:rsidRDefault="00996A40" w:rsidP="002639A2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 w:rsidRPr="0024405D">
              <w:rPr>
                <w:rFonts w:ascii="Arial Narrow" w:hAnsi="Arial Narrow" w:cs="Times New Roman"/>
                <w:b/>
                <w:color w:val="0070C0"/>
                <w:sz w:val="24"/>
              </w:rPr>
              <w:t>Результат обсуждения</w:t>
            </w:r>
          </w:p>
        </w:tc>
      </w:tr>
      <w:tr w:rsidR="00996A40" w:rsidRPr="00DB08D4" w:rsidTr="00996A40">
        <w:tc>
          <w:tcPr>
            <w:tcW w:w="1470" w:type="dxa"/>
          </w:tcPr>
          <w:p w:rsidR="00996A40" w:rsidRPr="00DB08D4" w:rsidRDefault="00996A40" w:rsidP="00B1197F">
            <w:pPr>
              <w:jc w:val="center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>Абзац 8 п.2 раздел 1</w:t>
            </w:r>
          </w:p>
        </w:tc>
        <w:tc>
          <w:tcPr>
            <w:tcW w:w="3060" w:type="dxa"/>
          </w:tcPr>
          <w:p w:rsidR="00996A40" w:rsidRPr="00DB08D4" w:rsidRDefault="00996A40" w:rsidP="00B1197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>Предлагаем исключить фо</w:t>
            </w:r>
            <w:r w:rsidRPr="00DB08D4">
              <w:rPr>
                <w:rFonts w:ascii="Times New Roman" w:hAnsi="Times New Roman" w:cs="Times New Roman"/>
              </w:rPr>
              <w:t>р</w:t>
            </w:r>
            <w:r w:rsidRPr="00DB08D4">
              <w:rPr>
                <w:rFonts w:ascii="Times New Roman" w:hAnsi="Times New Roman" w:cs="Times New Roman"/>
              </w:rPr>
              <w:t>мулировку «затраты, пон</w:t>
            </w:r>
            <w:r w:rsidRPr="00DB08D4">
              <w:rPr>
                <w:rFonts w:ascii="Times New Roman" w:hAnsi="Times New Roman" w:cs="Times New Roman"/>
              </w:rPr>
              <w:t>е</w:t>
            </w:r>
            <w:r w:rsidRPr="00DB08D4">
              <w:rPr>
                <w:rFonts w:ascii="Times New Roman" w:hAnsi="Times New Roman" w:cs="Times New Roman"/>
              </w:rPr>
              <w:t>сенные на выполнение работ, оказание услуг, в отношении которых организация еще не признала соответствующую выручку»</w:t>
            </w:r>
          </w:p>
        </w:tc>
        <w:tc>
          <w:tcPr>
            <w:tcW w:w="3026" w:type="dxa"/>
          </w:tcPr>
          <w:p w:rsidR="00996A40" w:rsidRPr="00DB08D4" w:rsidRDefault="00996A40" w:rsidP="00B1197F">
            <w:pPr>
              <w:jc w:val="both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>На настоящий момент такие затраты формируют себест</w:t>
            </w:r>
            <w:r w:rsidRPr="00DB08D4">
              <w:rPr>
                <w:rFonts w:ascii="Times New Roman" w:hAnsi="Times New Roman" w:cs="Times New Roman"/>
              </w:rPr>
              <w:t>о</w:t>
            </w:r>
            <w:r w:rsidRPr="00DB08D4">
              <w:rPr>
                <w:rFonts w:ascii="Times New Roman" w:hAnsi="Times New Roman" w:cs="Times New Roman"/>
              </w:rPr>
              <w:t>имость выполненной работы (оказанной услуги) и отр</w:t>
            </w:r>
            <w:r w:rsidRPr="00DB08D4">
              <w:rPr>
                <w:rFonts w:ascii="Times New Roman" w:hAnsi="Times New Roman" w:cs="Times New Roman"/>
              </w:rPr>
              <w:t>а</w:t>
            </w:r>
            <w:r w:rsidRPr="00DB08D4">
              <w:rPr>
                <w:rFonts w:ascii="Times New Roman" w:hAnsi="Times New Roman" w:cs="Times New Roman"/>
              </w:rPr>
              <w:t>жаются на затратных счетах. Предлагаем оставить пре</w:t>
            </w:r>
            <w:r w:rsidRPr="00DB08D4">
              <w:rPr>
                <w:rFonts w:ascii="Times New Roman" w:hAnsi="Times New Roman" w:cs="Times New Roman"/>
              </w:rPr>
              <w:t>ж</w:t>
            </w:r>
            <w:r w:rsidRPr="00DB08D4">
              <w:rPr>
                <w:rFonts w:ascii="Times New Roman" w:hAnsi="Times New Roman" w:cs="Times New Roman"/>
              </w:rPr>
              <w:t>ний порядок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996A40" w:rsidRPr="0024405D" w:rsidRDefault="00996A40" w:rsidP="0094339F">
            <w:pPr>
              <w:jc w:val="both"/>
              <w:rPr>
                <w:rFonts w:ascii="Arial Narrow" w:hAnsi="Arial Narrow" w:cs="Times New Roman"/>
                <w:color w:val="0070C0"/>
                <w:sz w:val="20"/>
              </w:rPr>
            </w:pPr>
            <w:r w:rsidRPr="0024405D">
              <w:rPr>
                <w:rFonts w:ascii="Arial Narrow" w:hAnsi="Arial Narrow" w:cs="Times New Roman"/>
                <w:color w:val="0070C0"/>
                <w:sz w:val="20"/>
              </w:rPr>
              <w:t xml:space="preserve">Стандарт не изменяет прежний порядок. Только 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 xml:space="preserve">Стандарт 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в отл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и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 xml:space="preserve">чие от ПБУ 5/01 </w:t>
            </w:r>
            <w:proofErr w:type="gramStart"/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распространяе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т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ся</w:t>
            </w:r>
            <w:proofErr w:type="gramEnd"/>
            <w:r w:rsidRPr="0024405D">
              <w:rPr>
                <w:rFonts w:ascii="Arial Narrow" w:hAnsi="Arial Narrow" w:cs="Times New Roman"/>
                <w:color w:val="0070C0"/>
                <w:sz w:val="20"/>
              </w:rPr>
              <w:t xml:space="preserve"> в том числе на незавершенное прои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з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водство</w:t>
            </w:r>
          </w:p>
        </w:tc>
      </w:tr>
      <w:tr w:rsidR="00996A40" w:rsidRPr="00DB08D4" w:rsidTr="00996A40">
        <w:tc>
          <w:tcPr>
            <w:tcW w:w="1470" w:type="dxa"/>
          </w:tcPr>
          <w:p w:rsidR="00996A40" w:rsidRPr="00DB08D4" w:rsidRDefault="00996A40" w:rsidP="00B1197F">
            <w:pPr>
              <w:jc w:val="center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>Абзац 3 п.3 раздел 1</w:t>
            </w:r>
          </w:p>
        </w:tc>
        <w:tc>
          <w:tcPr>
            <w:tcW w:w="3060" w:type="dxa"/>
          </w:tcPr>
          <w:p w:rsidR="00996A40" w:rsidRPr="00DB08D4" w:rsidRDefault="00996A40" w:rsidP="00B11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 б</w:t>
            </w:r>
            <w:r w:rsidRPr="00DB08D4">
              <w:rPr>
                <w:rFonts w:ascii="Times New Roman" w:hAnsi="Times New Roman" w:cs="Times New Roman"/>
              </w:rPr>
              <w:t xml:space="preserve">олее подробно указать, что понимается под </w:t>
            </w:r>
            <w:r>
              <w:rPr>
                <w:rFonts w:ascii="Times New Roman" w:hAnsi="Times New Roman" w:cs="Times New Roman"/>
              </w:rPr>
              <w:t xml:space="preserve">понятием </w:t>
            </w:r>
            <w:r w:rsidRPr="00DB08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предметы, предн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значенные</w:t>
            </w:r>
            <w:r w:rsidRPr="00DB08D4">
              <w:rPr>
                <w:rFonts w:ascii="Times New Roman" w:hAnsi="Times New Roman" w:cs="Times New Roman"/>
              </w:rPr>
              <w:t xml:space="preserve"> для администр</w:t>
            </w:r>
            <w:r w:rsidRPr="00DB08D4">
              <w:rPr>
                <w:rFonts w:ascii="Times New Roman" w:hAnsi="Times New Roman" w:cs="Times New Roman"/>
              </w:rPr>
              <w:t>а</w:t>
            </w:r>
            <w:r w:rsidRPr="00DB08D4">
              <w:rPr>
                <w:rFonts w:ascii="Times New Roman" w:hAnsi="Times New Roman" w:cs="Times New Roman"/>
              </w:rPr>
              <w:t>тивных целей»</w:t>
            </w:r>
          </w:p>
        </w:tc>
        <w:tc>
          <w:tcPr>
            <w:tcW w:w="3026" w:type="dxa"/>
          </w:tcPr>
          <w:p w:rsidR="00996A40" w:rsidRPr="00DB08D4" w:rsidRDefault="00996A40" w:rsidP="00B1197F">
            <w:pPr>
              <w:jc w:val="both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>Формулировка, представле</w:t>
            </w:r>
            <w:r w:rsidRPr="00DB08D4">
              <w:rPr>
                <w:rFonts w:ascii="Times New Roman" w:hAnsi="Times New Roman" w:cs="Times New Roman"/>
              </w:rPr>
              <w:t>н</w:t>
            </w:r>
            <w:r w:rsidRPr="00DB08D4">
              <w:rPr>
                <w:rFonts w:ascii="Times New Roman" w:hAnsi="Times New Roman" w:cs="Times New Roman"/>
              </w:rPr>
              <w:t>ная в стандарте, не дает то</w:t>
            </w:r>
            <w:r w:rsidRPr="00DB08D4">
              <w:rPr>
                <w:rFonts w:ascii="Times New Roman" w:hAnsi="Times New Roman" w:cs="Times New Roman"/>
              </w:rPr>
              <w:t>ч</w:t>
            </w:r>
            <w:r w:rsidRPr="00DB08D4">
              <w:rPr>
                <w:rFonts w:ascii="Times New Roman" w:hAnsi="Times New Roman" w:cs="Times New Roman"/>
              </w:rPr>
              <w:t>ного понимания какие име</w:t>
            </w:r>
            <w:r w:rsidRPr="00DB08D4">
              <w:rPr>
                <w:rFonts w:ascii="Times New Roman" w:hAnsi="Times New Roman" w:cs="Times New Roman"/>
              </w:rPr>
              <w:t>н</w:t>
            </w:r>
            <w:r w:rsidRPr="00DB08D4">
              <w:rPr>
                <w:rFonts w:ascii="Times New Roman" w:hAnsi="Times New Roman" w:cs="Times New Roman"/>
              </w:rPr>
              <w:t>но предметы относятся к данной группе, а какие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24405D" w:rsidRPr="0024405D" w:rsidRDefault="0024405D" w:rsidP="0024405D">
            <w:pPr>
              <w:jc w:val="both"/>
              <w:rPr>
                <w:rFonts w:ascii="Arial Narrow" w:hAnsi="Arial Narrow" w:cs="Times New Roman"/>
                <w:color w:val="0070C0"/>
                <w:sz w:val="20"/>
              </w:rPr>
            </w:pP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Учтено с учетом включения тр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е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тьего абзаца в п.2.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 xml:space="preserve"> и изложением его в новой редакции с возможн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о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стью выбора.</w:t>
            </w:r>
          </w:p>
          <w:p w:rsidR="00996A40" w:rsidRPr="0024405D" w:rsidRDefault="0024405D" w:rsidP="0024405D">
            <w:pPr>
              <w:jc w:val="both"/>
              <w:rPr>
                <w:rFonts w:ascii="Arial Narrow" w:hAnsi="Arial Narrow" w:cs="Times New Roman"/>
                <w:color w:val="0070C0"/>
                <w:sz w:val="20"/>
              </w:rPr>
            </w:pP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Исходя из IAS 2 то, что предн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а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значено для административных целей не может являться запас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а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ми. Но практика применения МСФО показывает, что организ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а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ции признают такие объекты з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а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пасами. Ввиду такого противор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е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чия решено оставить вопрос на усмотрение организации. Знач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и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тельного эффекта для финанс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о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вой отчетности от варианта его решения не ожидается ввиду короткого периода между прио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б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>ретением «административных» запасов и их списанием в связи с передачей в использование.</w:t>
            </w:r>
          </w:p>
        </w:tc>
      </w:tr>
      <w:tr w:rsidR="00996A40" w:rsidRPr="00DB08D4" w:rsidTr="00996A40">
        <w:tc>
          <w:tcPr>
            <w:tcW w:w="1470" w:type="dxa"/>
          </w:tcPr>
          <w:p w:rsidR="00996A40" w:rsidRPr="00C77E9E" w:rsidRDefault="00996A40" w:rsidP="00B1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1 п.23</w:t>
            </w:r>
            <w:r w:rsidRPr="00C77E9E">
              <w:rPr>
                <w:rFonts w:ascii="Times New Roman" w:hAnsi="Times New Roman" w:cs="Times New Roman"/>
              </w:rPr>
              <w:t xml:space="preserve"> раздел 3</w:t>
            </w:r>
          </w:p>
        </w:tc>
        <w:tc>
          <w:tcPr>
            <w:tcW w:w="3060" w:type="dxa"/>
          </w:tcPr>
          <w:p w:rsidR="00996A40" w:rsidRPr="00C77E9E" w:rsidRDefault="00996A40" w:rsidP="00C62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 слово «оценив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ются» изменить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«могут оцениваться»</w:t>
            </w:r>
          </w:p>
        </w:tc>
        <w:tc>
          <w:tcPr>
            <w:tcW w:w="3026" w:type="dxa"/>
          </w:tcPr>
          <w:p w:rsidR="00996A40" w:rsidRPr="00C77E9E" w:rsidRDefault="00996A40" w:rsidP="00C62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понятно, почему запасы, которые не могут заменять друг друга, следует оцен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только одним способом по стоимости каждой 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цы запасов. П</w:t>
            </w:r>
            <w:r w:rsidRPr="00C77E9E">
              <w:rPr>
                <w:rFonts w:ascii="Times New Roman" w:hAnsi="Times New Roman" w:cs="Times New Roman"/>
              </w:rPr>
              <w:t>о нашему мн</w:t>
            </w:r>
            <w:r w:rsidRPr="00C77E9E">
              <w:rPr>
                <w:rFonts w:ascii="Times New Roman" w:hAnsi="Times New Roman" w:cs="Times New Roman"/>
              </w:rPr>
              <w:t>е</w:t>
            </w:r>
            <w:r w:rsidRPr="00C77E9E">
              <w:rPr>
                <w:rFonts w:ascii="Times New Roman" w:hAnsi="Times New Roman" w:cs="Times New Roman"/>
              </w:rPr>
              <w:t>нию, применение только о</w:t>
            </w:r>
            <w:r w:rsidRPr="00C77E9E">
              <w:rPr>
                <w:rFonts w:ascii="Times New Roman" w:hAnsi="Times New Roman" w:cs="Times New Roman"/>
              </w:rPr>
              <w:t>д</w:t>
            </w:r>
            <w:r w:rsidRPr="00C77E9E">
              <w:rPr>
                <w:rFonts w:ascii="Times New Roman" w:hAnsi="Times New Roman" w:cs="Times New Roman"/>
              </w:rPr>
              <w:t xml:space="preserve">ного способа оценки запасов </w:t>
            </w:r>
            <w:r>
              <w:rPr>
                <w:rFonts w:ascii="Times New Roman" w:hAnsi="Times New Roman" w:cs="Times New Roman"/>
              </w:rPr>
              <w:t>очень сильно усложнит уче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процесс.</w:t>
            </w:r>
          </w:p>
        </w:tc>
        <w:tc>
          <w:tcPr>
            <w:tcW w:w="2864" w:type="dxa"/>
          </w:tcPr>
          <w:p w:rsidR="00996A40" w:rsidRPr="0024405D" w:rsidRDefault="0024405D" w:rsidP="0094339F">
            <w:pPr>
              <w:jc w:val="both"/>
              <w:rPr>
                <w:rFonts w:ascii="Arial Narrow" w:hAnsi="Arial Narrow" w:cs="Times New Roman"/>
                <w:color w:val="0070C0"/>
                <w:sz w:val="20"/>
              </w:rPr>
            </w:pPr>
            <w:r>
              <w:rPr>
                <w:rFonts w:ascii="Arial Narrow" w:hAnsi="Arial Narrow" w:cs="Times New Roman"/>
                <w:color w:val="0070C0"/>
                <w:sz w:val="20"/>
              </w:rPr>
              <w:t>Применение способов типа ФИФО или Средней к невзаимозаменя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е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 xml:space="preserve">мым запасам будет отступлением от </w:t>
            </w:r>
            <w:r>
              <w:rPr>
                <w:rFonts w:ascii="Arial Narrow" w:hAnsi="Arial Narrow" w:cs="Times New Roman"/>
                <w:color w:val="0070C0"/>
                <w:sz w:val="20"/>
                <w:lang w:val="en-US"/>
              </w:rPr>
              <w:t>IAS</w:t>
            </w:r>
            <w:r w:rsidRPr="0024405D">
              <w:rPr>
                <w:rFonts w:ascii="Arial Narrow" w:hAnsi="Arial Narrow" w:cs="Times New Roman"/>
                <w:color w:val="0070C0"/>
                <w:sz w:val="20"/>
              </w:rPr>
              <w:t xml:space="preserve"> 2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 xml:space="preserve"> и общепринятой мировой практики</w:t>
            </w:r>
            <w:proofErr w:type="gramStart"/>
            <w:r w:rsidR="0094339F">
              <w:rPr>
                <w:rFonts w:ascii="Arial Narrow" w:hAnsi="Arial Narrow" w:cs="Times New Roman"/>
                <w:color w:val="0070C0"/>
                <w:sz w:val="20"/>
              </w:rPr>
              <w:t>.</w:t>
            </w:r>
            <w:proofErr w:type="gramEnd"/>
            <w:r>
              <w:rPr>
                <w:rFonts w:ascii="Arial Narrow" w:hAnsi="Arial Narrow" w:cs="Times New Roman"/>
                <w:color w:val="0070C0"/>
                <w:sz w:val="20"/>
              </w:rPr>
              <w:t xml:space="preserve"> 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>О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 xml:space="preserve">ценка 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>невзаимозам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>е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>няемых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 xml:space="preserve"> запасов 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 xml:space="preserve">по стоимости каждой единицы 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>должна быть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 xml:space="preserve"> </w:t>
            </w:r>
            <w:r w:rsidR="0094339F">
              <w:rPr>
                <w:rFonts w:ascii="Arial Narrow" w:hAnsi="Arial Narrow" w:cs="Times New Roman"/>
                <w:color w:val="0070C0"/>
                <w:sz w:val="20"/>
              </w:rPr>
              <w:t>безальтернативной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.</w:t>
            </w:r>
          </w:p>
        </w:tc>
      </w:tr>
      <w:tr w:rsidR="00996A40" w:rsidRPr="00DB08D4" w:rsidTr="00996A40">
        <w:tc>
          <w:tcPr>
            <w:tcW w:w="1470" w:type="dxa"/>
          </w:tcPr>
          <w:p w:rsidR="00996A40" w:rsidRPr="00DB08D4" w:rsidRDefault="00996A40" w:rsidP="00E26657">
            <w:pPr>
              <w:jc w:val="center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>Абзац 1 п.2</w:t>
            </w:r>
            <w:r>
              <w:rPr>
                <w:rFonts w:ascii="Times New Roman" w:hAnsi="Times New Roman" w:cs="Times New Roman"/>
              </w:rPr>
              <w:t>7</w:t>
            </w:r>
            <w:r w:rsidRPr="00DB08D4">
              <w:rPr>
                <w:rFonts w:ascii="Times New Roman" w:hAnsi="Times New Roman" w:cs="Times New Roman"/>
              </w:rPr>
              <w:t xml:space="preserve"> раздел 3</w:t>
            </w:r>
          </w:p>
        </w:tc>
        <w:tc>
          <w:tcPr>
            <w:tcW w:w="3060" w:type="dxa"/>
          </w:tcPr>
          <w:p w:rsidR="00996A40" w:rsidRPr="00DB08D4" w:rsidRDefault="00996A40" w:rsidP="00E26657">
            <w:pPr>
              <w:jc w:val="both"/>
              <w:rPr>
                <w:rFonts w:ascii="Times New Roman" w:hAnsi="Times New Roman" w:cs="Times New Roman"/>
              </w:rPr>
            </w:pPr>
            <w:r w:rsidRPr="00DB08D4">
              <w:rPr>
                <w:rFonts w:ascii="Times New Roman" w:hAnsi="Times New Roman" w:cs="Times New Roman"/>
              </w:rPr>
              <w:t xml:space="preserve">Предлагаем </w:t>
            </w:r>
            <w:r>
              <w:rPr>
                <w:rFonts w:ascii="Times New Roman" w:hAnsi="Times New Roman" w:cs="Times New Roman"/>
              </w:rPr>
              <w:t>установить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 запасов не чаще, чем один раз в год.</w:t>
            </w:r>
          </w:p>
        </w:tc>
        <w:tc>
          <w:tcPr>
            <w:tcW w:w="3026" w:type="dxa"/>
          </w:tcPr>
          <w:p w:rsidR="00996A40" w:rsidRPr="00DB08D4" w:rsidRDefault="00996A40" w:rsidP="00711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запасов на отчетную дату очень трудоемка по времени.</w:t>
            </w:r>
          </w:p>
        </w:tc>
        <w:tc>
          <w:tcPr>
            <w:tcW w:w="2864" w:type="dxa"/>
          </w:tcPr>
          <w:p w:rsidR="00996A40" w:rsidRPr="0024405D" w:rsidRDefault="0024405D" w:rsidP="00711A11">
            <w:pPr>
              <w:jc w:val="both"/>
              <w:rPr>
                <w:rFonts w:ascii="Arial Narrow" w:hAnsi="Arial Narrow" w:cs="Times New Roman"/>
                <w:color w:val="0070C0"/>
                <w:sz w:val="20"/>
              </w:rPr>
            </w:pPr>
            <w:r>
              <w:rPr>
                <w:rFonts w:ascii="Arial Narrow" w:hAnsi="Arial Narrow" w:cs="Times New Roman"/>
                <w:color w:val="0070C0"/>
                <w:sz w:val="20"/>
              </w:rPr>
              <w:t>Федеральный закон «О бухга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л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терском учете» не обязывает организации в общем случае с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о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ставлять промежуточную отче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т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ность – только если ее требуется куда-то представить. В таких сл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у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чаях представляется нецелес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о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образным разрешать непризн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а</w:t>
            </w:r>
            <w:r>
              <w:rPr>
                <w:rFonts w:ascii="Arial Narrow" w:hAnsi="Arial Narrow" w:cs="Times New Roman"/>
                <w:color w:val="0070C0"/>
                <w:sz w:val="20"/>
              </w:rPr>
              <w:t>ние обесценения запасов.</w:t>
            </w:r>
            <w:bookmarkStart w:id="0" w:name="_GoBack"/>
            <w:bookmarkEnd w:id="0"/>
          </w:p>
        </w:tc>
      </w:tr>
    </w:tbl>
    <w:p w:rsidR="004470E9" w:rsidRDefault="004470E9" w:rsidP="00B1197F">
      <w:pPr>
        <w:jc w:val="both"/>
      </w:pPr>
    </w:p>
    <w:sectPr w:rsidR="004470E9" w:rsidSect="00996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39A2"/>
    <w:rsid w:val="00072F35"/>
    <w:rsid w:val="00074CF9"/>
    <w:rsid w:val="0015569C"/>
    <w:rsid w:val="00214D09"/>
    <w:rsid w:val="00226181"/>
    <w:rsid w:val="0024405D"/>
    <w:rsid w:val="002639A2"/>
    <w:rsid w:val="004470E9"/>
    <w:rsid w:val="006959BB"/>
    <w:rsid w:val="00711A11"/>
    <w:rsid w:val="0094339F"/>
    <w:rsid w:val="00996A40"/>
    <w:rsid w:val="00B05F18"/>
    <w:rsid w:val="00B1197F"/>
    <w:rsid w:val="00B21847"/>
    <w:rsid w:val="00B36654"/>
    <w:rsid w:val="00C6210C"/>
    <w:rsid w:val="00C77E9E"/>
    <w:rsid w:val="00D82FCB"/>
    <w:rsid w:val="00DB08D4"/>
    <w:rsid w:val="00E10F9A"/>
    <w:rsid w:val="00E26657"/>
    <w:rsid w:val="00F30F66"/>
    <w:rsid w:val="00F37D54"/>
    <w:rsid w:val="00F65535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2015-12-04T06:10:00Z</cp:lastPrinted>
  <dcterms:created xsi:type="dcterms:W3CDTF">2015-12-16T11:06:00Z</dcterms:created>
  <dcterms:modified xsi:type="dcterms:W3CDTF">2017-08-22T11:30:00Z</dcterms:modified>
</cp:coreProperties>
</file>