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7E29C1" w:rsidTr="007F450F">
        <w:tc>
          <w:tcPr>
            <w:tcW w:w="6663" w:type="dxa"/>
          </w:tcPr>
          <w:p w:rsidR="00F2002E" w:rsidRPr="007E29C1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7E29C1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7E29C1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A3268" w:rsidRPr="00EA3268" w:rsidRDefault="00EA3268" w:rsidP="00363270">
      <w:pPr>
        <w:keepNext/>
        <w:keepLines/>
        <w:spacing w:before="120" w:after="120" w:line="240" w:lineRule="auto"/>
        <w:jc w:val="right"/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</w:pPr>
    </w:p>
    <w:p w:rsidR="00363270" w:rsidRPr="009D58C1" w:rsidRDefault="00363270" w:rsidP="00363270">
      <w:pPr>
        <w:keepNext/>
        <w:keepLines/>
        <w:spacing w:before="120" w:after="120" w:line="240" w:lineRule="auto"/>
        <w:jc w:val="right"/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</w:pPr>
      <w:proofErr w:type="gramStart"/>
      <w:r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Принята</w:t>
      </w:r>
      <w:proofErr w:type="gramEnd"/>
      <w:r w:rsidRPr="009D58C1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 xml:space="preserve"> Комитет</w:t>
      </w:r>
      <w:r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ом</w:t>
      </w:r>
      <w:r w:rsidRPr="009D58C1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 xml:space="preserve"> по рекомендациям</w:t>
      </w:r>
      <w:r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 xml:space="preserve"> </w:t>
      </w:r>
      <w:r w:rsidRPr="009D58C1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2018-06-07</w:t>
      </w:r>
    </w:p>
    <w:p w:rsidR="00363270" w:rsidRPr="009D58C1" w:rsidRDefault="00363270" w:rsidP="00363270">
      <w:pPr>
        <w:keepNext/>
        <w:keepLines/>
        <w:tabs>
          <w:tab w:val="left" w:pos="3828"/>
        </w:tabs>
        <w:spacing w:before="120" w:after="120" w:line="240" w:lineRule="auto"/>
        <w:jc w:val="right"/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</w:pPr>
      <w:proofErr w:type="gramStart"/>
      <w:r w:rsidRPr="009D58C1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Утверждена</w:t>
      </w:r>
      <w:proofErr w:type="gramEnd"/>
      <w:r w:rsidRPr="009D58C1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 xml:space="preserve"> в итоговой редакции</w:t>
      </w:r>
      <w:r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 xml:space="preserve"> </w:t>
      </w:r>
      <w:r w:rsidRPr="009D58C1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2018-10-05</w:t>
      </w:r>
    </w:p>
    <w:p w:rsidR="00363270" w:rsidRPr="008777AD" w:rsidRDefault="00363270" w:rsidP="00363270">
      <w:pPr>
        <w:pStyle w:val="1"/>
        <w:spacing w:before="600" w:after="120"/>
        <w:jc w:val="center"/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</w:pPr>
      <w:r w:rsidRPr="008777AD"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  <w:t>РЕКОМЕНДАЦИЯ Р-</w:t>
      </w:r>
      <w:r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  <w:t>93</w:t>
      </w:r>
      <w:r w:rsidRPr="008777AD"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  <w:t>/2018-КпР</w:t>
      </w:r>
      <w:r w:rsidRPr="008777AD"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  <w:br/>
        <w:t>«ПООЩРИТЕЛЬНЫЕ ВЫПЛАТЫ РАБОТНИКАМ</w:t>
      </w:r>
      <w:r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  <w:br/>
        <w:t>СВЯЗАННЫЕ С ЗАВЕРШЕНИЕМ СТРОИТЕЛЬСТВА</w:t>
      </w:r>
      <w:r w:rsidRPr="008777AD">
        <w:rPr>
          <w:rFonts w:ascii="Times New Roman" w:hAnsi="Times New Roman" w:cs="Times New Roman"/>
          <w:b/>
          <w:bCs/>
          <w:color w:val="006666"/>
          <w:spacing w:val="20"/>
          <w:sz w:val="24"/>
          <w:szCs w:val="24"/>
        </w:rPr>
        <w:t>»</w:t>
      </w:r>
    </w:p>
    <w:p w:rsidR="00363270" w:rsidRPr="008777AD" w:rsidRDefault="00363270" w:rsidP="00363270">
      <w:pPr>
        <w:keepNext/>
        <w:keepLines/>
        <w:spacing w:before="360" w:after="0"/>
        <w:outlineLvl w:val="1"/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</w:pPr>
      <w:r w:rsidRPr="008777AD"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ОПИСАНИЕ ПРОБЛЕМЫ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строит</w:t>
      </w:r>
      <w:r w:rsidRPr="008777AD">
        <w:rPr>
          <w:rFonts w:ascii="Times New Roman" w:hAnsi="Times New Roman" w:cs="Times New Roman"/>
          <w:sz w:val="24"/>
          <w:szCs w:val="24"/>
        </w:rPr>
        <w:t xml:space="preserve"> производственный комбинат (далее – ГОК)  для использования его в своей основной деятельности. В организации разработана программа поощрител</w:t>
      </w:r>
      <w:r w:rsidRPr="008777AD">
        <w:rPr>
          <w:rFonts w:ascii="Times New Roman" w:hAnsi="Times New Roman" w:cs="Times New Roman"/>
          <w:sz w:val="24"/>
          <w:szCs w:val="24"/>
        </w:rPr>
        <w:t>ь</w:t>
      </w:r>
      <w:r w:rsidRPr="008777AD">
        <w:rPr>
          <w:rFonts w:ascii="Times New Roman" w:hAnsi="Times New Roman" w:cs="Times New Roman"/>
          <w:sz w:val="24"/>
          <w:szCs w:val="24"/>
        </w:rPr>
        <w:t>ных выплат (далее – премии) работникам, связанны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777AD">
        <w:rPr>
          <w:rFonts w:ascii="Times New Roman" w:hAnsi="Times New Roman" w:cs="Times New Roman"/>
          <w:sz w:val="24"/>
          <w:szCs w:val="24"/>
        </w:rPr>
        <w:t xml:space="preserve"> с этим </w:t>
      </w:r>
      <w:proofErr w:type="spellStart"/>
      <w:r w:rsidRPr="008777AD">
        <w:rPr>
          <w:rFonts w:ascii="Times New Roman" w:hAnsi="Times New Roman" w:cs="Times New Roman"/>
          <w:sz w:val="24"/>
          <w:szCs w:val="24"/>
        </w:rPr>
        <w:t>ГОКом</w:t>
      </w:r>
      <w:proofErr w:type="spellEnd"/>
      <w:r w:rsidRPr="008777AD">
        <w:rPr>
          <w:rFonts w:ascii="Times New Roman" w:hAnsi="Times New Roman" w:cs="Times New Roman"/>
          <w:sz w:val="24"/>
          <w:szCs w:val="24"/>
        </w:rPr>
        <w:t>. Эти премии выплач</w:t>
      </w:r>
      <w:r w:rsidRPr="008777AD">
        <w:rPr>
          <w:rFonts w:ascii="Times New Roman" w:hAnsi="Times New Roman" w:cs="Times New Roman"/>
          <w:sz w:val="24"/>
          <w:szCs w:val="24"/>
        </w:rPr>
        <w:t>и</w:t>
      </w:r>
      <w:r w:rsidRPr="008777AD">
        <w:rPr>
          <w:rFonts w:ascii="Times New Roman" w:hAnsi="Times New Roman" w:cs="Times New Roman"/>
          <w:sz w:val="24"/>
          <w:szCs w:val="24"/>
        </w:rPr>
        <w:t xml:space="preserve">ваются поэтапно </w:t>
      </w:r>
      <w:r>
        <w:rPr>
          <w:rFonts w:ascii="Times New Roman" w:hAnsi="Times New Roman" w:cs="Times New Roman"/>
          <w:sz w:val="24"/>
          <w:szCs w:val="24"/>
        </w:rPr>
        <w:t xml:space="preserve">за качество ввода в эксплуатацию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7AD">
        <w:rPr>
          <w:rFonts w:ascii="Times New Roman" w:hAnsi="Times New Roman" w:cs="Times New Roman"/>
          <w:sz w:val="24"/>
          <w:szCs w:val="24"/>
        </w:rPr>
        <w:t xml:space="preserve">в зависимости от выполнения целевых показателей </w:t>
      </w:r>
      <w:proofErr w:type="spellStart"/>
      <w:r w:rsidRPr="008777AD">
        <w:rPr>
          <w:rFonts w:ascii="Times New Roman" w:hAnsi="Times New Roman" w:cs="Times New Roman"/>
          <w:sz w:val="24"/>
          <w:szCs w:val="24"/>
        </w:rPr>
        <w:t>ГОКа</w:t>
      </w:r>
      <w:proofErr w:type="spellEnd"/>
      <w:r w:rsidRPr="008777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6"/>
        <w:tblW w:w="0" w:type="auto"/>
        <w:jc w:val="center"/>
        <w:tblLook w:val="04A0"/>
      </w:tblPr>
      <w:tblGrid>
        <w:gridCol w:w="1413"/>
        <w:gridCol w:w="2372"/>
        <w:gridCol w:w="2372"/>
        <w:gridCol w:w="2372"/>
      </w:tblGrid>
      <w:tr w:rsidR="00363270" w:rsidRPr="008777AD" w:rsidTr="007E11BE">
        <w:trPr>
          <w:jc w:val="center"/>
        </w:trPr>
        <w:tc>
          <w:tcPr>
            <w:tcW w:w="1413" w:type="dxa"/>
          </w:tcPr>
          <w:p w:rsidR="00363270" w:rsidRPr="008777AD" w:rsidRDefault="00363270" w:rsidP="007E11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372" w:type="dxa"/>
          </w:tcPr>
          <w:p w:rsidR="00363270" w:rsidRPr="008777AD" w:rsidRDefault="00363270" w:rsidP="007E11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>Описание целевых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 премии)</w:t>
            </w:r>
          </w:p>
        </w:tc>
        <w:tc>
          <w:tcPr>
            <w:tcW w:w="2372" w:type="dxa"/>
          </w:tcPr>
          <w:p w:rsidR="00363270" w:rsidRPr="008777AD" w:rsidRDefault="00363270" w:rsidP="007E11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 w:rsidRPr="008777AD">
              <w:rPr>
                <w:rFonts w:ascii="Times New Roman" w:hAnsi="Times New Roman" w:cs="Times New Roman"/>
                <w:sz w:val="24"/>
                <w:szCs w:val="24"/>
              </w:rPr>
              <w:br/>
              <w:t>(тонн продукта)</w:t>
            </w:r>
          </w:p>
        </w:tc>
        <w:tc>
          <w:tcPr>
            <w:tcW w:w="2372" w:type="dxa"/>
          </w:tcPr>
          <w:p w:rsidR="00363270" w:rsidRPr="008777AD" w:rsidRDefault="00363270" w:rsidP="007E11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>Целевые сроки</w:t>
            </w:r>
            <w:proofErr w:type="gramStart"/>
            <w:r w:rsidRPr="008777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77A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>пуска</w:t>
            </w:r>
            <w:r w:rsidRPr="001C720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 xml:space="preserve"> выхода на мощности</w:t>
            </w:r>
          </w:p>
        </w:tc>
      </w:tr>
      <w:tr w:rsidR="00363270" w:rsidRPr="008777AD" w:rsidTr="007E11BE">
        <w:trPr>
          <w:jc w:val="center"/>
        </w:trPr>
        <w:tc>
          <w:tcPr>
            <w:tcW w:w="1413" w:type="dxa"/>
          </w:tcPr>
          <w:p w:rsidR="00363270" w:rsidRPr="008777AD" w:rsidRDefault="00363270" w:rsidP="007E11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1 </w:t>
            </w:r>
          </w:p>
        </w:tc>
        <w:tc>
          <w:tcPr>
            <w:tcW w:w="2372" w:type="dxa"/>
          </w:tcPr>
          <w:p w:rsidR="00363270" w:rsidRPr="008777AD" w:rsidRDefault="00363270" w:rsidP="007E11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>Пусковая премия</w:t>
            </w:r>
          </w:p>
        </w:tc>
        <w:tc>
          <w:tcPr>
            <w:tcW w:w="2372" w:type="dxa"/>
          </w:tcPr>
          <w:p w:rsidR="00363270" w:rsidRPr="008777AD" w:rsidRDefault="00363270" w:rsidP="007E11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7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72" w:type="dxa"/>
          </w:tcPr>
          <w:p w:rsidR="00363270" w:rsidRPr="008777AD" w:rsidRDefault="00363270" w:rsidP="007E11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>Дек. 01 года</w:t>
            </w:r>
          </w:p>
        </w:tc>
      </w:tr>
      <w:tr w:rsidR="00363270" w:rsidRPr="008777AD" w:rsidTr="007E11BE">
        <w:trPr>
          <w:jc w:val="center"/>
        </w:trPr>
        <w:tc>
          <w:tcPr>
            <w:tcW w:w="1413" w:type="dxa"/>
          </w:tcPr>
          <w:p w:rsidR="00363270" w:rsidRPr="008777AD" w:rsidRDefault="00363270" w:rsidP="007E11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2 </w:t>
            </w:r>
          </w:p>
        </w:tc>
        <w:tc>
          <w:tcPr>
            <w:tcW w:w="2372" w:type="dxa"/>
          </w:tcPr>
          <w:p w:rsidR="00363270" w:rsidRPr="008777AD" w:rsidRDefault="00363270" w:rsidP="007E11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 xml:space="preserve">Премия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 при </w:t>
            </w: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 xml:space="preserve"> на 50% пр</w:t>
            </w: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>изводственной мощности</w:t>
            </w:r>
          </w:p>
        </w:tc>
        <w:tc>
          <w:tcPr>
            <w:tcW w:w="2372" w:type="dxa"/>
          </w:tcPr>
          <w:p w:rsidR="00363270" w:rsidRPr="001C720E" w:rsidRDefault="00363270" w:rsidP="007E11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372" w:type="dxa"/>
          </w:tcPr>
          <w:p w:rsidR="00363270" w:rsidRPr="008777AD" w:rsidRDefault="00363270" w:rsidP="007E11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>Дек. 03 года</w:t>
            </w:r>
          </w:p>
        </w:tc>
      </w:tr>
      <w:tr w:rsidR="00363270" w:rsidRPr="008777AD" w:rsidTr="007E11BE">
        <w:trPr>
          <w:jc w:val="center"/>
        </w:trPr>
        <w:tc>
          <w:tcPr>
            <w:tcW w:w="1413" w:type="dxa"/>
          </w:tcPr>
          <w:p w:rsidR="00363270" w:rsidRPr="008777AD" w:rsidRDefault="00363270" w:rsidP="007E11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>Критерий 3</w:t>
            </w:r>
          </w:p>
        </w:tc>
        <w:tc>
          <w:tcPr>
            <w:tcW w:w="2372" w:type="dxa"/>
          </w:tcPr>
          <w:p w:rsidR="00363270" w:rsidRPr="008777AD" w:rsidRDefault="00363270" w:rsidP="007E11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 xml:space="preserve">Премия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 при </w:t>
            </w: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 xml:space="preserve"> на 100% производственной мощности</w:t>
            </w:r>
          </w:p>
        </w:tc>
        <w:tc>
          <w:tcPr>
            <w:tcW w:w="2372" w:type="dxa"/>
          </w:tcPr>
          <w:p w:rsidR="00363270" w:rsidRPr="008777AD" w:rsidRDefault="00363270" w:rsidP="007E11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2y</w:t>
            </w:r>
          </w:p>
        </w:tc>
        <w:tc>
          <w:tcPr>
            <w:tcW w:w="2372" w:type="dxa"/>
          </w:tcPr>
          <w:p w:rsidR="00363270" w:rsidRPr="008777AD" w:rsidRDefault="00363270" w:rsidP="007E11B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AD">
              <w:rPr>
                <w:rFonts w:ascii="Times New Roman" w:hAnsi="Times New Roman" w:cs="Times New Roman"/>
                <w:sz w:val="24"/>
                <w:szCs w:val="24"/>
              </w:rPr>
              <w:t>Дек. 04 года</w:t>
            </w:r>
          </w:p>
        </w:tc>
      </w:tr>
    </w:tbl>
    <w:p w:rsidR="00363270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t>В этой связи возника</w:t>
      </w:r>
      <w:r>
        <w:rPr>
          <w:rFonts w:ascii="Times New Roman" w:hAnsi="Times New Roman" w:cs="Times New Roman"/>
          <w:sz w:val="24"/>
          <w:szCs w:val="24"/>
        </w:rPr>
        <w:t>ет вопрос</w:t>
      </w:r>
      <w:r w:rsidRPr="00877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777AD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8777AD">
        <w:rPr>
          <w:rFonts w:ascii="Times New Roman" w:hAnsi="Times New Roman" w:cs="Times New Roman"/>
          <w:sz w:val="24"/>
          <w:szCs w:val="24"/>
        </w:rPr>
        <w:t xml:space="preserve"> учета описанных поо</w:t>
      </w:r>
      <w:r>
        <w:rPr>
          <w:rFonts w:ascii="Times New Roman" w:hAnsi="Times New Roman" w:cs="Times New Roman"/>
          <w:sz w:val="24"/>
          <w:szCs w:val="24"/>
        </w:rPr>
        <w:t>щрительных выплат, в том числе:</w:t>
      </w:r>
    </w:p>
    <w:p w:rsidR="00363270" w:rsidRPr="00893666" w:rsidRDefault="00363270" w:rsidP="001A20C1">
      <w:pPr>
        <w:pStyle w:val="af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93666">
        <w:rPr>
          <w:rFonts w:ascii="Times New Roman" w:hAnsi="Times New Roman" w:cs="Times New Roman"/>
          <w:sz w:val="24"/>
          <w:szCs w:val="24"/>
        </w:rPr>
        <w:t xml:space="preserve">момент их признания (включая механизм резервирования), </w:t>
      </w:r>
    </w:p>
    <w:p w:rsidR="00363270" w:rsidRPr="00893666" w:rsidRDefault="00363270" w:rsidP="001A20C1">
      <w:pPr>
        <w:pStyle w:val="af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93666">
        <w:rPr>
          <w:rFonts w:ascii="Times New Roman" w:hAnsi="Times New Roman" w:cs="Times New Roman"/>
          <w:sz w:val="24"/>
          <w:szCs w:val="24"/>
        </w:rPr>
        <w:t xml:space="preserve">включение в стоимость вводимых в эксплуатацию объектов основных средств, </w:t>
      </w:r>
    </w:p>
    <w:p w:rsidR="00363270" w:rsidRPr="00893666" w:rsidRDefault="00363270" w:rsidP="001A20C1">
      <w:pPr>
        <w:pStyle w:val="af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93666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893666">
        <w:rPr>
          <w:rFonts w:ascii="Times New Roman" w:hAnsi="Times New Roman" w:cs="Times New Roman"/>
          <w:sz w:val="24"/>
          <w:szCs w:val="24"/>
        </w:rPr>
        <w:t>разниц</w:t>
      </w:r>
      <w:proofErr w:type="spellEnd"/>
      <w:r w:rsidRPr="00893666">
        <w:rPr>
          <w:rFonts w:ascii="Times New Roman" w:hAnsi="Times New Roman" w:cs="Times New Roman"/>
          <w:sz w:val="24"/>
          <w:szCs w:val="24"/>
        </w:rPr>
        <w:t xml:space="preserve"> между предполагаемой величиной выплаты при ее начи</w:t>
      </w:r>
      <w:r w:rsidRPr="00893666">
        <w:rPr>
          <w:rFonts w:ascii="Times New Roman" w:hAnsi="Times New Roman" w:cs="Times New Roman"/>
          <w:sz w:val="24"/>
          <w:szCs w:val="24"/>
        </w:rPr>
        <w:t>с</w:t>
      </w:r>
      <w:r w:rsidRPr="00893666">
        <w:rPr>
          <w:rFonts w:ascii="Times New Roman" w:hAnsi="Times New Roman" w:cs="Times New Roman"/>
          <w:sz w:val="24"/>
          <w:szCs w:val="24"/>
        </w:rPr>
        <w:t xml:space="preserve">лении и фактически выплаченной суммой, </w:t>
      </w:r>
    </w:p>
    <w:p w:rsidR="00363270" w:rsidRPr="00893666" w:rsidRDefault="00363270" w:rsidP="001A20C1">
      <w:pPr>
        <w:pStyle w:val="af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93666">
        <w:rPr>
          <w:rFonts w:ascii="Times New Roman" w:hAnsi="Times New Roman" w:cs="Times New Roman"/>
          <w:sz w:val="24"/>
          <w:szCs w:val="24"/>
        </w:rPr>
        <w:t>учет выплат до и после ввода объектов основных средств в эксплуатацию.</w:t>
      </w:r>
    </w:p>
    <w:p w:rsidR="00363270" w:rsidRPr="008777AD" w:rsidRDefault="00363270" w:rsidP="00363270">
      <w:pPr>
        <w:keepNext/>
        <w:keepLines/>
        <w:spacing w:before="360" w:after="0"/>
        <w:outlineLvl w:val="1"/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</w:pPr>
      <w:r w:rsidRPr="008777AD"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РЕШЕНИЕ</w:t>
      </w:r>
    </w:p>
    <w:p w:rsidR="00363270" w:rsidRPr="008777AD" w:rsidRDefault="00363270" w:rsidP="001A20C1">
      <w:pPr>
        <w:pStyle w:val="af"/>
        <w:numPr>
          <w:ilvl w:val="0"/>
          <w:numId w:val="4"/>
        </w:numPr>
        <w:shd w:val="clear" w:color="auto" w:fill="FFFFFF"/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color w:val="006666"/>
          <w:sz w:val="24"/>
          <w:szCs w:val="24"/>
        </w:rPr>
      </w:pPr>
      <w:r w:rsidRPr="008777AD">
        <w:rPr>
          <w:rFonts w:ascii="Times New Roman" w:hAnsi="Times New Roman" w:cs="Times New Roman"/>
          <w:color w:val="006666"/>
          <w:sz w:val="24"/>
          <w:szCs w:val="24"/>
        </w:rPr>
        <w:t>Поощрения работникам организации за ввод в эксплуатацию основных средств (д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а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лее – поощрения) признаются в качестве оценочного обязательства по мере осущ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е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ствления работниками соответствующих работ по созданию и подготовке к эксплу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а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lastRenderedPageBreak/>
        <w:t>тации основных средств одновременно с начислением работникам соответствующей заработной платы за эти же работы.</w:t>
      </w:r>
      <w:r>
        <w:rPr>
          <w:rFonts w:ascii="Times New Roman" w:hAnsi="Times New Roman" w:cs="Times New Roman"/>
          <w:color w:val="006666"/>
          <w:sz w:val="24"/>
          <w:szCs w:val="24"/>
        </w:rPr>
        <w:t xml:space="preserve"> 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Оценочное обязательство по поощрениям </w:t>
      </w:r>
      <w:r>
        <w:rPr>
          <w:rFonts w:ascii="Times New Roman" w:hAnsi="Times New Roman" w:cs="Times New Roman"/>
          <w:color w:val="006666"/>
          <w:sz w:val="24"/>
          <w:szCs w:val="24"/>
        </w:rPr>
        <w:t xml:space="preserve">может 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призна</w:t>
      </w:r>
      <w:r>
        <w:rPr>
          <w:rFonts w:ascii="Times New Roman" w:hAnsi="Times New Roman" w:cs="Times New Roman"/>
          <w:color w:val="006666"/>
          <w:sz w:val="24"/>
          <w:szCs w:val="24"/>
        </w:rPr>
        <w:t xml:space="preserve">ваться по организации </w:t>
      </w:r>
      <w:proofErr w:type="spellStart"/>
      <w:r>
        <w:rPr>
          <w:rFonts w:ascii="Times New Roman" w:hAnsi="Times New Roman" w:cs="Times New Roman"/>
          <w:color w:val="006666"/>
          <w:sz w:val="24"/>
          <w:szCs w:val="24"/>
        </w:rPr>
        <w:t>в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целом</w:t>
      </w:r>
      <w:proofErr w:type="spellEnd"/>
      <w:r w:rsidRPr="008777AD">
        <w:rPr>
          <w:rFonts w:ascii="Times New Roman" w:hAnsi="Times New Roman" w:cs="Times New Roman"/>
          <w:color w:val="006666"/>
          <w:sz w:val="24"/>
          <w:szCs w:val="24"/>
        </w:rPr>
        <w:t>.</w:t>
      </w:r>
    </w:p>
    <w:p w:rsidR="00363270" w:rsidRPr="008777AD" w:rsidRDefault="00363270" w:rsidP="001A20C1">
      <w:pPr>
        <w:pStyle w:val="af"/>
        <w:numPr>
          <w:ilvl w:val="0"/>
          <w:numId w:val="4"/>
        </w:numPr>
        <w:shd w:val="clear" w:color="auto" w:fill="FFFFFF"/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color w:val="006666"/>
          <w:sz w:val="24"/>
          <w:szCs w:val="24"/>
        </w:rPr>
      </w:pP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Поощрения признаются в сумме, отражающей наиболее достоверную на момент признания денежную оценку выплат, которые будут осуществлены организацией в связи с этими поощрениями. В указанную сумму </w:t>
      </w:r>
      <w:proofErr w:type="gramStart"/>
      <w:r w:rsidRPr="008777AD">
        <w:rPr>
          <w:rFonts w:ascii="Times New Roman" w:hAnsi="Times New Roman" w:cs="Times New Roman"/>
          <w:color w:val="006666"/>
          <w:sz w:val="24"/>
          <w:szCs w:val="24"/>
        </w:rPr>
        <w:t>включаются</w:t>
      </w:r>
      <w:proofErr w:type="gramEnd"/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 в том числе все обяз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а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тельные социальные платежи, которые организация должна будет осуществить в связи с выплатой поощрений работникам. В случае если предполагаемый срок в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ы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платы поощрений превышает 12 месяцев или установленный организацией меньший срок, поощрения признаются в дисконтированной сумме.</w:t>
      </w:r>
    </w:p>
    <w:p w:rsidR="00363270" w:rsidRPr="008777AD" w:rsidRDefault="00363270" w:rsidP="001A20C1">
      <w:pPr>
        <w:pStyle w:val="af"/>
        <w:numPr>
          <w:ilvl w:val="0"/>
          <w:numId w:val="4"/>
        </w:numPr>
        <w:shd w:val="clear" w:color="auto" w:fill="FFFFFF"/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color w:val="006666"/>
          <w:sz w:val="24"/>
          <w:szCs w:val="24"/>
        </w:rPr>
      </w:pP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Сумма признанного поощрения относится на незавершенные капитальные вложения, формирующие первоначальную стоимость основного средства, с </w:t>
      </w:r>
      <w:proofErr w:type="gramStart"/>
      <w:r w:rsidRPr="008777AD">
        <w:rPr>
          <w:rFonts w:ascii="Times New Roman" w:hAnsi="Times New Roman" w:cs="Times New Roman"/>
          <w:color w:val="006666"/>
          <w:sz w:val="24"/>
          <w:szCs w:val="24"/>
        </w:rPr>
        <w:t>вводом</w:t>
      </w:r>
      <w:proofErr w:type="gramEnd"/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 в эксплу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а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тацию которого связано соответствующее поощрение.</w:t>
      </w:r>
    </w:p>
    <w:p w:rsidR="00363270" w:rsidRPr="008777AD" w:rsidRDefault="00363270" w:rsidP="001A20C1">
      <w:pPr>
        <w:pStyle w:val="af"/>
        <w:numPr>
          <w:ilvl w:val="0"/>
          <w:numId w:val="4"/>
        </w:numPr>
        <w:shd w:val="clear" w:color="auto" w:fill="FFFFFF"/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color w:val="006666"/>
          <w:sz w:val="24"/>
          <w:szCs w:val="24"/>
        </w:rPr>
      </w:pPr>
      <w:r>
        <w:rPr>
          <w:rFonts w:ascii="Times New Roman" w:hAnsi="Times New Roman" w:cs="Times New Roman"/>
          <w:color w:val="006666"/>
          <w:sz w:val="24"/>
          <w:szCs w:val="24"/>
        </w:rPr>
        <w:t>С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умма </w:t>
      </w:r>
      <w:r>
        <w:rPr>
          <w:rFonts w:ascii="Times New Roman" w:hAnsi="Times New Roman" w:cs="Times New Roman"/>
          <w:color w:val="006666"/>
          <w:sz w:val="24"/>
          <w:szCs w:val="24"/>
        </w:rPr>
        <w:t xml:space="preserve">оценочного обязательства 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относится на конкретные объекты незавершенных капитальных вложений (впоследствии – основных средств) исходя из прямой связи труда работников с соответствующими объектами, а при отсутствии такой связи распределяется обоснованным способом, установленным организацией. Распредел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е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ние суммы оценочного обязательства по поощрениям должно быть аналогичным распределению между этими же объектами заработной платы соответствующих р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а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ботников.</w:t>
      </w:r>
    </w:p>
    <w:p w:rsidR="00363270" w:rsidRPr="008777AD" w:rsidRDefault="00363270" w:rsidP="001A20C1">
      <w:pPr>
        <w:pStyle w:val="af"/>
        <w:numPr>
          <w:ilvl w:val="0"/>
          <w:numId w:val="4"/>
        </w:numPr>
        <w:shd w:val="clear" w:color="auto" w:fill="FFFFFF"/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color w:val="006666"/>
          <w:sz w:val="24"/>
          <w:szCs w:val="24"/>
        </w:rPr>
      </w:pPr>
      <w:r w:rsidRPr="008777AD">
        <w:rPr>
          <w:rFonts w:ascii="Times New Roman" w:hAnsi="Times New Roman" w:cs="Times New Roman"/>
          <w:color w:val="006666"/>
          <w:sz w:val="24"/>
          <w:szCs w:val="24"/>
        </w:rPr>
        <w:t>Величина оценочного обязательства, признанного в соответствии с пунктом 2 н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а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стоящей Рекомендации, подлежит пересмотру, как минимум, на каждую отчетную дату, а также на дату принятия к учету основного средства.</w:t>
      </w:r>
    </w:p>
    <w:p w:rsidR="00363270" w:rsidRPr="008777AD" w:rsidRDefault="00363270" w:rsidP="001A20C1">
      <w:pPr>
        <w:pStyle w:val="af"/>
        <w:numPr>
          <w:ilvl w:val="0"/>
          <w:numId w:val="4"/>
        </w:numPr>
        <w:shd w:val="clear" w:color="auto" w:fill="FFFFFF"/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color w:val="006666"/>
          <w:sz w:val="24"/>
          <w:szCs w:val="24"/>
        </w:rPr>
      </w:pPr>
      <w:r w:rsidRPr="008777AD">
        <w:rPr>
          <w:rFonts w:ascii="Times New Roman" w:hAnsi="Times New Roman" w:cs="Times New Roman"/>
          <w:color w:val="006666"/>
          <w:sz w:val="24"/>
          <w:szCs w:val="24"/>
        </w:rPr>
        <w:t>В случае если оценочное обязательство признано в дисконтированной сумме, пог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а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шение дисконта (начисление процентов) относится на незавершенные капитальные вложения, формирующие </w:t>
      </w:r>
      <w:r>
        <w:rPr>
          <w:rFonts w:ascii="Times New Roman" w:hAnsi="Times New Roman" w:cs="Times New Roman"/>
          <w:color w:val="006666"/>
          <w:sz w:val="24"/>
          <w:szCs w:val="24"/>
        </w:rPr>
        <w:t xml:space="preserve">впоследствии 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первоначальную стоимость соответству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ю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щего основного средства, до момента </w:t>
      </w:r>
      <w:r>
        <w:rPr>
          <w:rFonts w:ascii="Times New Roman" w:hAnsi="Times New Roman" w:cs="Times New Roman"/>
          <w:color w:val="006666"/>
          <w:sz w:val="24"/>
          <w:szCs w:val="24"/>
        </w:rPr>
        <w:t>его признания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. После </w:t>
      </w:r>
      <w:r>
        <w:rPr>
          <w:rFonts w:ascii="Times New Roman" w:hAnsi="Times New Roman" w:cs="Times New Roman"/>
          <w:color w:val="006666"/>
          <w:sz w:val="24"/>
          <w:szCs w:val="24"/>
        </w:rPr>
        <w:t>признания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 основного средства погашение дисконта (начисление процентов) относится на расходы орган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и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зации (в составе расходов по процентам).</w:t>
      </w:r>
    </w:p>
    <w:p w:rsidR="00363270" w:rsidRPr="008777AD" w:rsidRDefault="00363270" w:rsidP="001A20C1">
      <w:pPr>
        <w:pStyle w:val="af"/>
        <w:numPr>
          <w:ilvl w:val="0"/>
          <w:numId w:val="4"/>
        </w:numPr>
        <w:shd w:val="clear" w:color="auto" w:fill="FFFFFF"/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color w:val="006666"/>
          <w:sz w:val="24"/>
          <w:szCs w:val="24"/>
        </w:rPr>
      </w:pPr>
      <w:r w:rsidRPr="008777AD">
        <w:rPr>
          <w:rFonts w:ascii="Times New Roman" w:hAnsi="Times New Roman" w:cs="Times New Roman"/>
          <w:color w:val="006666"/>
          <w:sz w:val="24"/>
          <w:szCs w:val="24"/>
        </w:rPr>
        <w:t>Изменение величины оценочного обязательства по поощрениям помимо изменений, указанных в пункте 6 настоящей Рекомендации, корректирует величину соответс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т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вующих капитальных вложений до момента </w:t>
      </w:r>
      <w:r>
        <w:rPr>
          <w:rFonts w:ascii="Times New Roman" w:hAnsi="Times New Roman" w:cs="Times New Roman"/>
          <w:color w:val="006666"/>
          <w:sz w:val="24"/>
          <w:szCs w:val="24"/>
        </w:rPr>
        <w:t>признания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 основного средства. Орган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и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зация также может скорректировать первоначальную стоимость основного средства после его </w:t>
      </w:r>
      <w:r>
        <w:rPr>
          <w:rFonts w:ascii="Times New Roman" w:hAnsi="Times New Roman" w:cs="Times New Roman"/>
          <w:color w:val="006666"/>
          <w:sz w:val="24"/>
          <w:szCs w:val="24"/>
        </w:rPr>
        <w:t>признания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, если эта корректировка связана с получением информации об изменении оценочного обязательства (или фактической выплатой поощрения) до окончания отчетного </w:t>
      </w:r>
      <w:r>
        <w:rPr>
          <w:rFonts w:ascii="Times New Roman" w:hAnsi="Times New Roman" w:cs="Times New Roman"/>
          <w:color w:val="006666"/>
          <w:sz w:val="24"/>
          <w:szCs w:val="24"/>
        </w:rPr>
        <w:t>периода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, в котором основное средство было </w:t>
      </w:r>
      <w:r>
        <w:rPr>
          <w:rFonts w:ascii="Times New Roman" w:hAnsi="Times New Roman" w:cs="Times New Roman"/>
          <w:color w:val="006666"/>
          <w:sz w:val="24"/>
          <w:szCs w:val="24"/>
        </w:rPr>
        <w:t>признано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, а также после его окончания в период событий после отчетной даты.</w:t>
      </w:r>
    </w:p>
    <w:p w:rsidR="00363270" w:rsidRPr="008777AD" w:rsidRDefault="00363270" w:rsidP="001A20C1">
      <w:pPr>
        <w:pStyle w:val="af"/>
        <w:numPr>
          <w:ilvl w:val="0"/>
          <w:numId w:val="4"/>
        </w:numPr>
        <w:shd w:val="clear" w:color="auto" w:fill="FFFFFF"/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color w:val="006666"/>
          <w:sz w:val="24"/>
          <w:szCs w:val="24"/>
        </w:rPr>
      </w:pPr>
      <w:proofErr w:type="gramStart"/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Изменение величины оценочного обязательства по поощрениям помимо изменений, указанных в пункте 6 настоящей Рекомендации, в отчетные </w:t>
      </w:r>
      <w:r>
        <w:rPr>
          <w:rFonts w:ascii="Times New Roman" w:hAnsi="Times New Roman" w:cs="Times New Roman"/>
          <w:color w:val="006666"/>
          <w:sz w:val="24"/>
          <w:szCs w:val="24"/>
        </w:rPr>
        <w:t>периоды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color w:val="006666"/>
          <w:sz w:val="24"/>
          <w:szCs w:val="24"/>
        </w:rPr>
        <w:t>призн</w:t>
      </w:r>
      <w:r>
        <w:rPr>
          <w:rFonts w:ascii="Times New Roman" w:hAnsi="Times New Roman" w:cs="Times New Roman"/>
          <w:color w:val="006666"/>
          <w:sz w:val="24"/>
          <w:szCs w:val="24"/>
        </w:rPr>
        <w:t>а</w:t>
      </w:r>
      <w:r>
        <w:rPr>
          <w:rFonts w:ascii="Times New Roman" w:hAnsi="Times New Roman" w:cs="Times New Roman"/>
          <w:color w:val="006666"/>
          <w:sz w:val="24"/>
          <w:szCs w:val="24"/>
        </w:rPr>
        <w:t>ния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 основного средства (с учетом событий после отчетной даты), а также разницы между величиной осуществленных в этот период фактических выплат поощрений и признанных ранее в отношении них оценочных обязательств, относятся на умен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ь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lastRenderedPageBreak/>
        <w:t>шение или увеличение соответствующих расходов по оплате труда текущего пери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о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да, если</w:t>
      </w:r>
      <w:proofErr w:type="gramEnd"/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 иное не установлено пунктом 9 настоящей Рекомендации.</w:t>
      </w:r>
    </w:p>
    <w:p w:rsidR="00363270" w:rsidRPr="008777AD" w:rsidRDefault="00363270" w:rsidP="001A20C1">
      <w:pPr>
        <w:pStyle w:val="af"/>
        <w:numPr>
          <w:ilvl w:val="0"/>
          <w:numId w:val="4"/>
        </w:numPr>
        <w:shd w:val="clear" w:color="auto" w:fill="FFFFFF"/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color w:val="006666"/>
          <w:sz w:val="24"/>
          <w:szCs w:val="24"/>
        </w:rPr>
      </w:pPr>
      <w:proofErr w:type="gramStart"/>
      <w:r w:rsidRPr="008777AD">
        <w:rPr>
          <w:rFonts w:ascii="Times New Roman" w:hAnsi="Times New Roman" w:cs="Times New Roman"/>
          <w:color w:val="006666"/>
          <w:sz w:val="24"/>
          <w:szCs w:val="24"/>
        </w:rPr>
        <w:t>Организация, которая раскрывает финансовую отчетность, составленную в соотве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т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ствии с Международными стандартами финансовой отчетности (МСФО), вправе и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з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менить первоначальную стоимость основного средства в отчетные </w:t>
      </w:r>
      <w:r>
        <w:rPr>
          <w:rFonts w:ascii="Times New Roman" w:hAnsi="Times New Roman" w:cs="Times New Roman"/>
          <w:color w:val="006666"/>
          <w:sz w:val="24"/>
          <w:szCs w:val="24"/>
        </w:rPr>
        <w:t>периоды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color w:val="006666"/>
          <w:sz w:val="24"/>
          <w:szCs w:val="24"/>
        </w:rPr>
        <w:t>признания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6666"/>
          <w:sz w:val="24"/>
          <w:szCs w:val="24"/>
        </w:rPr>
        <w:t>основного средства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 (с учетом событий после отчетной даты) на величину изменений оценочного обязательства по поощрениям (помимо изменений, указа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н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ных в пункте 6 настоящей Рекомендации), а также на величину разницы между в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е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личиной осуществленных в этот период фактических</w:t>
      </w:r>
      <w:proofErr w:type="gramEnd"/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 выплат поощрений и призна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н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ных ранее в отношении них оценочных обязательств. Такой подход применяется на основании второго абзаца пункта 7 Положения по бухгалтерскому учету ПБУ 1/2008 «Учетная политика организации». </w:t>
      </w:r>
      <w:proofErr w:type="gramStart"/>
      <w:r w:rsidRPr="008777AD">
        <w:rPr>
          <w:rFonts w:ascii="Times New Roman" w:hAnsi="Times New Roman" w:cs="Times New Roman"/>
          <w:color w:val="006666"/>
          <w:sz w:val="24"/>
          <w:szCs w:val="24"/>
        </w:rPr>
        <w:t>В этой связи, если организация воспользовалась указанным правом, то на основании пункта 20.1 ПБУ 1/2008, она должна в своей бухгалтерской отчетности сообщить о неприменении требований пункта 22 ПБУ 8/10 и пункта 14 ПБУ 6/01 в связи с необходимостью соответствия требованиям МСФО, описав при этом существо отступления – отнесение изменений величины оценочных обязательств по поощрениям на изменение первоначальной стоимости</w:t>
      </w:r>
      <w:proofErr w:type="gramEnd"/>
      <w:r w:rsidRPr="008777AD">
        <w:rPr>
          <w:rFonts w:ascii="Times New Roman" w:hAnsi="Times New Roman" w:cs="Times New Roman"/>
          <w:color w:val="006666"/>
          <w:sz w:val="24"/>
          <w:szCs w:val="24"/>
        </w:rPr>
        <w:t xml:space="preserve"> соответствующих основных средств вместо включения в доходы или расходы п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е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риода. Раскрытие каких-либо количественных аспектов такого отступления не тр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е</w:t>
      </w:r>
      <w:r w:rsidRPr="008777AD">
        <w:rPr>
          <w:rFonts w:ascii="Times New Roman" w:hAnsi="Times New Roman" w:cs="Times New Roman"/>
          <w:color w:val="006666"/>
          <w:sz w:val="24"/>
          <w:szCs w:val="24"/>
        </w:rPr>
        <w:t>буется.</w:t>
      </w:r>
    </w:p>
    <w:p w:rsidR="00363270" w:rsidRPr="008777AD" w:rsidRDefault="00363270" w:rsidP="00363270">
      <w:pPr>
        <w:keepNext/>
        <w:keepLines/>
        <w:spacing w:before="360" w:after="0"/>
        <w:outlineLvl w:val="1"/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</w:pPr>
      <w:r w:rsidRPr="008777AD"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ОСНОВА ДЛЯ ВЫВОДОВ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t>В нормативных правовых актах по бухгалтерскому учету не установлены способы ведения бухгалтерского учета вознаграждений работникам. В связи с этим в целях форм</w:t>
      </w:r>
      <w:r w:rsidRPr="008777AD">
        <w:rPr>
          <w:rFonts w:ascii="Times New Roman" w:hAnsi="Times New Roman" w:cs="Times New Roman"/>
          <w:sz w:val="24"/>
          <w:szCs w:val="24"/>
        </w:rPr>
        <w:t>и</w:t>
      </w:r>
      <w:r w:rsidRPr="008777AD">
        <w:rPr>
          <w:rFonts w:ascii="Times New Roman" w:hAnsi="Times New Roman" w:cs="Times New Roman"/>
          <w:sz w:val="24"/>
          <w:szCs w:val="24"/>
        </w:rPr>
        <w:t>рования информации о вознаграждениях работникам организация должна руководств</w:t>
      </w:r>
      <w:r w:rsidRPr="008777AD">
        <w:rPr>
          <w:rFonts w:ascii="Times New Roman" w:hAnsi="Times New Roman" w:cs="Times New Roman"/>
          <w:sz w:val="24"/>
          <w:szCs w:val="24"/>
        </w:rPr>
        <w:t>о</w:t>
      </w:r>
      <w:r w:rsidRPr="008777AD">
        <w:rPr>
          <w:rFonts w:ascii="Times New Roman" w:hAnsi="Times New Roman" w:cs="Times New Roman"/>
          <w:sz w:val="24"/>
          <w:szCs w:val="24"/>
        </w:rPr>
        <w:t>ваться пунктом 7.1 Положения по бухгалтерскому учету ПБУ 1/2008 «Учетная политика организации». В соответствии с указанным пунктом в случае если по конкретному вопр</w:t>
      </w:r>
      <w:r w:rsidRPr="008777AD">
        <w:rPr>
          <w:rFonts w:ascii="Times New Roman" w:hAnsi="Times New Roman" w:cs="Times New Roman"/>
          <w:sz w:val="24"/>
          <w:szCs w:val="24"/>
        </w:rPr>
        <w:t>о</w:t>
      </w:r>
      <w:r w:rsidRPr="008777AD">
        <w:rPr>
          <w:rFonts w:ascii="Times New Roman" w:hAnsi="Times New Roman" w:cs="Times New Roman"/>
          <w:sz w:val="24"/>
          <w:szCs w:val="24"/>
        </w:rPr>
        <w:t>су ведения бухгалтерского учета в федеральных стандартах бухгалтерского учета не уст</w:t>
      </w:r>
      <w:r w:rsidRPr="008777AD">
        <w:rPr>
          <w:rFonts w:ascii="Times New Roman" w:hAnsi="Times New Roman" w:cs="Times New Roman"/>
          <w:sz w:val="24"/>
          <w:szCs w:val="24"/>
        </w:rPr>
        <w:t>а</w:t>
      </w:r>
      <w:r w:rsidRPr="008777AD">
        <w:rPr>
          <w:rFonts w:ascii="Times New Roman" w:hAnsi="Times New Roman" w:cs="Times New Roman"/>
          <w:sz w:val="24"/>
          <w:szCs w:val="24"/>
        </w:rPr>
        <w:t>новлены способы ведения бухгалтерского учета, то организация разрабатывает соответс</w:t>
      </w:r>
      <w:r w:rsidRPr="008777AD">
        <w:rPr>
          <w:rFonts w:ascii="Times New Roman" w:hAnsi="Times New Roman" w:cs="Times New Roman"/>
          <w:sz w:val="24"/>
          <w:szCs w:val="24"/>
        </w:rPr>
        <w:t>т</w:t>
      </w:r>
      <w:r w:rsidRPr="008777AD">
        <w:rPr>
          <w:rFonts w:ascii="Times New Roman" w:hAnsi="Times New Roman" w:cs="Times New Roman"/>
          <w:sz w:val="24"/>
          <w:szCs w:val="24"/>
        </w:rPr>
        <w:t>вующий способ исходя из требований, установленных законодательством Российской Ф</w:t>
      </w:r>
      <w:r w:rsidRPr="008777AD">
        <w:rPr>
          <w:rFonts w:ascii="Times New Roman" w:hAnsi="Times New Roman" w:cs="Times New Roman"/>
          <w:sz w:val="24"/>
          <w:szCs w:val="24"/>
        </w:rPr>
        <w:t>е</w:t>
      </w:r>
      <w:r w:rsidRPr="008777AD">
        <w:rPr>
          <w:rFonts w:ascii="Times New Roman" w:hAnsi="Times New Roman" w:cs="Times New Roman"/>
          <w:sz w:val="24"/>
          <w:szCs w:val="24"/>
        </w:rPr>
        <w:t>дерации о бухгалтерском учете, федеральными и (или) отраслевыми стандартами. При этом организация, основываясь на допущениях и требованиях, приведенных в пунктах 5 и 6 указанного Положения, использует последовательно следующие документы: а) межд</w:t>
      </w:r>
      <w:r w:rsidRPr="008777AD">
        <w:rPr>
          <w:rFonts w:ascii="Times New Roman" w:hAnsi="Times New Roman" w:cs="Times New Roman"/>
          <w:sz w:val="24"/>
          <w:szCs w:val="24"/>
        </w:rPr>
        <w:t>у</w:t>
      </w:r>
      <w:r w:rsidRPr="008777AD">
        <w:rPr>
          <w:rFonts w:ascii="Times New Roman" w:hAnsi="Times New Roman" w:cs="Times New Roman"/>
          <w:sz w:val="24"/>
          <w:szCs w:val="24"/>
        </w:rPr>
        <w:t>народные стандарты финансовой отчетности; б) положения федеральных и (или) отрасл</w:t>
      </w:r>
      <w:r w:rsidRPr="008777AD">
        <w:rPr>
          <w:rFonts w:ascii="Times New Roman" w:hAnsi="Times New Roman" w:cs="Times New Roman"/>
          <w:sz w:val="24"/>
          <w:szCs w:val="24"/>
        </w:rPr>
        <w:t>е</w:t>
      </w:r>
      <w:r w:rsidRPr="008777AD">
        <w:rPr>
          <w:rFonts w:ascii="Times New Roman" w:hAnsi="Times New Roman" w:cs="Times New Roman"/>
          <w:sz w:val="24"/>
          <w:szCs w:val="24"/>
        </w:rPr>
        <w:t>вых стандартов бухгалтерского учета по аналогичным и (или) связанным вопросам; в) р</w:t>
      </w:r>
      <w:r w:rsidRPr="008777AD">
        <w:rPr>
          <w:rFonts w:ascii="Times New Roman" w:hAnsi="Times New Roman" w:cs="Times New Roman"/>
          <w:sz w:val="24"/>
          <w:szCs w:val="24"/>
        </w:rPr>
        <w:t>е</w:t>
      </w:r>
      <w:r w:rsidRPr="008777AD">
        <w:rPr>
          <w:rFonts w:ascii="Times New Roman" w:hAnsi="Times New Roman" w:cs="Times New Roman"/>
          <w:sz w:val="24"/>
          <w:szCs w:val="24"/>
        </w:rPr>
        <w:t>комендации в области бухгалтерского учета.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t>В этой связи при разработке организацией способов ведения бухгалтерского учета вознаграждений работникам следует принимать во внимание положения международного стандарта IAS 19 «Вознаграждения работникам», цель которого состоит в том, чтобы у</w:t>
      </w:r>
      <w:r w:rsidRPr="008777AD">
        <w:rPr>
          <w:rFonts w:ascii="Times New Roman" w:hAnsi="Times New Roman" w:cs="Times New Roman"/>
          <w:sz w:val="24"/>
          <w:szCs w:val="24"/>
        </w:rPr>
        <w:t>с</w:t>
      </w:r>
      <w:r w:rsidRPr="008777AD">
        <w:rPr>
          <w:rFonts w:ascii="Times New Roman" w:hAnsi="Times New Roman" w:cs="Times New Roman"/>
          <w:sz w:val="24"/>
          <w:szCs w:val="24"/>
        </w:rPr>
        <w:t xml:space="preserve">тановить правила учета и раскрытия информации о вознаграждениях работникам. При этом следует принимать во внимание связанные положения международного стандарта </w:t>
      </w:r>
      <w:r w:rsidRPr="008777AD">
        <w:rPr>
          <w:rFonts w:ascii="Times New Roman" w:hAnsi="Times New Roman" w:cs="Times New Roman"/>
          <w:sz w:val="24"/>
          <w:szCs w:val="24"/>
          <w:lang w:val="en-US"/>
        </w:rPr>
        <w:t>IAS </w:t>
      </w:r>
      <w:r w:rsidRPr="008777AD">
        <w:rPr>
          <w:rFonts w:ascii="Times New Roman" w:hAnsi="Times New Roman" w:cs="Times New Roman"/>
          <w:sz w:val="24"/>
          <w:szCs w:val="24"/>
        </w:rPr>
        <w:t>16 «Основные средства».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t>Кроме того, по рассматриваемым вопросам необходимо руководствоваться поря</w:t>
      </w:r>
      <w:r w:rsidRPr="008777AD">
        <w:rPr>
          <w:rFonts w:ascii="Times New Roman" w:hAnsi="Times New Roman" w:cs="Times New Roman"/>
          <w:sz w:val="24"/>
          <w:szCs w:val="24"/>
        </w:rPr>
        <w:t>д</w:t>
      </w:r>
      <w:r w:rsidRPr="008777AD">
        <w:rPr>
          <w:rFonts w:ascii="Times New Roman" w:hAnsi="Times New Roman" w:cs="Times New Roman"/>
          <w:sz w:val="24"/>
          <w:szCs w:val="24"/>
        </w:rPr>
        <w:t xml:space="preserve">ком отражения оценочных обязательств, установленных Положением по бухгалтерскому </w:t>
      </w:r>
      <w:r w:rsidRPr="008777AD">
        <w:rPr>
          <w:rFonts w:ascii="Times New Roman" w:hAnsi="Times New Roman" w:cs="Times New Roman"/>
          <w:sz w:val="24"/>
          <w:szCs w:val="24"/>
        </w:rPr>
        <w:lastRenderedPageBreak/>
        <w:t>учету ПБУ 8/2010 «Оценочные обязательства, условные обязательства и условные акт</w:t>
      </w:r>
      <w:r w:rsidRPr="008777AD">
        <w:rPr>
          <w:rFonts w:ascii="Times New Roman" w:hAnsi="Times New Roman" w:cs="Times New Roman"/>
          <w:sz w:val="24"/>
          <w:szCs w:val="24"/>
        </w:rPr>
        <w:t>и</w:t>
      </w:r>
      <w:r w:rsidRPr="008777AD">
        <w:rPr>
          <w:rFonts w:ascii="Times New Roman" w:hAnsi="Times New Roman" w:cs="Times New Roman"/>
          <w:sz w:val="24"/>
          <w:szCs w:val="24"/>
        </w:rPr>
        <w:t>вы», а также правилами оценки основных средств, установленных Положением по бу</w:t>
      </w:r>
      <w:r w:rsidRPr="008777AD">
        <w:rPr>
          <w:rFonts w:ascii="Times New Roman" w:hAnsi="Times New Roman" w:cs="Times New Roman"/>
          <w:sz w:val="24"/>
          <w:szCs w:val="24"/>
        </w:rPr>
        <w:t>х</w:t>
      </w:r>
      <w:r w:rsidRPr="008777AD">
        <w:rPr>
          <w:rFonts w:ascii="Times New Roman" w:hAnsi="Times New Roman" w:cs="Times New Roman"/>
          <w:sz w:val="24"/>
          <w:szCs w:val="24"/>
        </w:rPr>
        <w:t>галтерскому учету ПБУ 6/2001 «Учет основных средств».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7AD">
        <w:rPr>
          <w:rFonts w:ascii="Times New Roman" w:hAnsi="Times New Roman" w:cs="Times New Roman"/>
          <w:sz w:val="24"/>
          <w:szCs w:val="24"/>
        </w:rPr>
        <w:t>В соответствии с §.11 (</w:t>
      </w:r>
      <w:r w:rsidRPr="008777A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777AD">
        <w:rPr>
          <w:rFonts w:ascii="Times New Roman" w:hAnsi="Times New Roman" w:cs="Times New Roman"/>
          <w:sz w:val="24"/>
          <w:szCs w:val="24"/>
        </w:rPr>
        <w:t>) IAS 19, если работник оказывает организации услуги в т</w:t>
      </w:r>
      <w:r w:rsidRPr="008777AD">
        <w:rPr>
          <w:rFonts w:ascii="Times New Roman" w:hAnsi="Times New Roman" w:cs="Times New Roman"/>
          <w:sz w:val="24"/>
          <w:szCs w:val="24"/>
        </w:rPr>
        <w:t>е</w:t>
      </w:r>
      <w:r w:rsidRPr="008777AD">
        <w:rPr>
          <w:rFonts w:ascii="Times New Roman" w:hAnsi="Times New Roman" w:cs="Times New Roman"/>
          <w:sz w:val="24"/>
          <w:szCs w:val="24"/>
        </w:rPr>
        <w:t xml:space="preserve">чение отчетного периода, организация должна признать </w:t>
      </w:r>
      <w:proofErr w:type="spellStart"/>
      <w:r w:rsidRPr="008777AD">
        <w:rPr>
          <w:rFonts w:ascii="Times New Roman" w:hAnsi="Times New Roman" w:cs="Times New Roman"/>
          <w:sz w:val="24"/>
          <w:szCs w:val="24"/>
        </w:rPr>
        <w:t>недисконтированную</w:t>
      </w:r>
      <w:proofErr w:type="spellEnd"/>
      <w:r w:rsidRPr="008777AD">
        <w:rPr>
          <w:rFonts w:ascii="Times New Roman" w:hAnsi="Times New Roman" w:cs="Times New Roman"/>
          <w:sz w:val="24"/>
          <w:szCs w:val="24"/>
        </w:rPr>
        <w:t xml:space="preserve"> величину краткосрочных вознаграждений работникам, которая, как ожидается, будет выплачена в обмен на эти услуги, в качестве расхода, за исключением тех сумм вознаграждения, кот</w:t>
      </w:r>
      <w:r w:rsidRPr="008777AD">
        <w:rPr>
          <w:rFonts w:ascii="Times New Roman" w:hAnsi="Times New Roman" w:cs="Times New Roman"/>
          <w:sz w:val="24"/>
          <w:szCs w:val="24"/>
        </w:rPr>
        <w:t>о</w:t>
      </w:r>
      <w:r w:rsidRPr="008777AD">
        <w:rPr>
          <w:rFonts w:ascii="Times New Roman" w:hAnsi="Times New Roman" w:cs="Times New Roman"/>
          <w:sz w:val="24"/>
          <w:szCs w:val="24"/>
        </w:rPr>
        <w:t>рые другой МСФО требует или разрешает включать в первоначальную стоимость актива (см., например, IAS 2 «Запасы» и МСФО</w:t>
      </w:r>
      <w:proofErr w:type="gramEnd"/>
      <w:r w:rsidRPr="008777AD">
        <w:rPr>
          <w:rFonts w:ascii="Times New Roman" w:hAnsi="Times New Roman" w:cs="Times New Roman"/>
          <w:sz w:val="24"/>
          <w:szCs w:val="24"/>
        </w:rPr>
        <w:t xml:space="preserve"> IAS 16 «Основные средства». В свою очередь в соответствии с §.17 (а) IAS 16 примером непосредственно относящихся затрат, включа</w:t>
      </w:r>
      <w:r w:rsidRPr="008777AD">
        <w:rPr>
          <w:rFonts w:ascii="Times New Roman" w:hAnsi="Times New Roman" w:cs="Times New Roman"/>
          <w:sz w:val="24"/>
          <w:szCs w:val="24"/>
        </w:rPr>
        <w:t>е</w:t>
      </w:r>
      <w:r w:rsidRPr="008777AD">
        <w:rPr>
          <w:rFonts w:ascii="Times New Roman" w:hAnsi="Times New Roman" w:cs="Times New Roman"/>
          <w:sz w:val="24"/>
          <w:szCs w:val="24"/>
        </w:rPr>
        <w:t>мых в первоначальную стоимость объекта основных средств, являются затраты на возн</w:t>
      </w:r>
      <w:r w:rsidRPr="008777AD">
        <w:rPr>
          <w:rFonts w:ascii="Times New Roman" w:hAnsi="Times New Roman" w:cs="Times New Roman"/>
          <w:sz w:val="24"/>
          <w:szCs w:val="24"/>
        </w:rPr>
        <w:t>а</w:t>
      </w:r>
      <w:r w:rsidRPr="008777AD">
        <w:rPr>
          <w:rFonts w:ascii="Times New Roman" w:hAnsi="Times New Roman" w:cs="Times New Roman"/>
          <w:sz w:val="24"/>
          <w:szCs w:val="24"/>
        </w:rPr>
        <w:t>граждения работникам (как этот термин определен в IAS 19), возникающие непосредс</w:t>
      </w:r>
      <w:r w:rsidRPr="008777AD">
        <w:rPr>
          <w:rFonts w:ascii="Times New Roman" w:hAnsi="Times New Roman" w:cs="Times New Roman"/>
          <w:sz w:val="24"/>
          <w:szCs w:val="24"/>
        </w:rPr>
        <w:t>т</w:t>
      </w:r>
      <w:r w:rsidRPr="008777AD">
        <w:rPr>
          <w:rFonts w:ascii="Times New Roman" w:hAnsi="Times New Roman" w:cs="Times New Roman"/>
          <w:sz w:val="24"/>
          <w:szCs w:val="24"/>
        </w:rPr>
        <w:t>венно вследствие строительства или приобретения объекта основных средств.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t>В соответствии с §.19 IAS 19 организация признает ожидаемые затраты на выплату премий в соответствии с пунктом 11 только в случае, если у организации есть сущес</w:t>
      </w:r>
      <w:r w:rsidRPr="008777AD">
        <w:rPr>
          <w:rFonts w:ascii="Times New Roman" w:hAnsi="Times New Roman" w:cs="Times New Roman"/>
          <w:sz w:val="24"/>
          <w:szCs w:val="24"/>
        </w:rPr>
        <w:t>т</w:t>
      </w:r>
      <w:r w:rsidRPr="008777AD">
        <w:rPr>
          <w:rFonts w:ascii="Times New Roman" w:hAnsi="Times New Roman" w:cs="Times New Roman"/>
          <w:sz w:val="24"/>
          <w:szCs w:val="24"/>
        </w:rPr>
        <w:t>вующее юридическое либо обусловленное практикой обязательство произвести такие в</w:t>
      </w:r>
      <w:r w:rsidRPr="008777AD">
        <w:rPr>
          <w:rFonts w:ascii="Times New Roman" w:hAnsi="Times New Roman" w:cs="Times New Roman"/>
          <w:sz w:val="24"/>
          <w:szCs w:val="24"/>
        </w:rPr>
        <w:t>ы</w:t>
      </w:r>
      <w:r w:rsidRPr="008777AD">
        <w:rPr>
          <w:rFonts w:ascii="Times New Roman" w:hAnsi="Times New Roman" w:cs="Times New Roman"/>
          <w:sz w:val="24"/>
          <w:szCs w:val="24"/>
        </w:rPr>
        <w:t>платы в результате прошлых событий, и обязательство можно надежно оценить. Сущес</w:t>
      </w:r>
      <w:r w:rsidRPr="008777AD">
        <w:rPr>
          <w:rFonts w:ascii="Times New Roman" w:hAnsi="Times New Roman" w:cs="Times New Roman"/>
          <w:sz w:val="24"/>
          <w:szCs w:val="24"/>
        </w:rPr>
        <w:t>т</w:t>
      </w:r>
      <w:r w:rsidRPr="008777AD">
        <w:rPr>
          <w:rFonts w:ascii="Times New Roman" w:hAnsi="Times New Roman" w:cs="Times New Roman"/>
          <w:sz w:val="24"/>
          <w:szCs w:val="24"/>
        </w:rPr>
        <w:t>вующее обязательство возникает только в том случае, если у организации нет реалисти</w:t>
      </w:r>
      <w:r w:rsidRPr="008777AD">
        <w:rPr>
          <w:rFonts w:ascii="Times New Roman" w:hAnsi="Times New Roman" w:cs="Times New Roman"/>
          <w:sz w:val="24"/>
          <w:szCs w:val="24"/>
        </w:rPr>
        <w:t>ч</w:t>
      </w:r>
      <w:r w:rsidRPr="008777AD">
        <w:rPr>
          <w:rFonts w:ascii="Times New Roman" w:hAnsi="Times New Roman" w:cs="Times New Roman"/>
          <w:sz w:val="24"/>
          <w:szCs w:val="24"/>
        </w:rPr>
        <w:t xml:space="preserve">ной альтернативы выплатам. При этом в соответствии с §.21 </w:t>
      </w:r>
      <w:r w:rsidRPr="008777AD">
        <w:rPr>
          <w:rFonts w:ascii="Times New Roman" w:hAnsi="Times New Roman" w:cs="Times New Roman"/>
          <w:sz w:val="24"/>
          <w:szCs w:val="24"/>
          <w:lang w:val="en-US"/>
        </w:rPr>
        <w:t>IAS</w:t>
      </w:r>
      <w:r w:rsidRPr="008777AD">
        <w:rPr>
          <w:rFonts w:ascii="Times New Roman" w:hAnsi="Times New Roman" w:cs="Times New Roman"/>
          <w:sz w:val="24"/>
          <w:szCs w:val="24"/>
        </w:rPr>
        <w:t xml:space="preserve"> 19 организация может не иметь юридической обязанности выплачивать премии. Тем не менее, в некоторых случаях в организации может существовать практика выплаты премий. В таких случаях у орган</w:t>
      </w:r>
      <w:r w:rsidRPr="008777AD">
        <w:rPr>
          <w:rFonts w:ascii="Times New Roman" w:hAnsi="Times New Roman" w:cs="Times New Roman"/>
          <w:sz w:val="24"/>
          <w:szCs w:val="24"/>
        </w:rPr>
        <w:t>и</w:t>
      </w:r>
      <w:r w:rsidRPr="008777AD">
        <w:rPr>
          <w:rFonts w:ascii="Times New Roman" w:hAnsi="Times New Roman" w:cs="Times New Roman"/>
          <w:sz w:val="24"/>
          <w:szCs w:val="24"/>
        </w:rPr>
        <w:t>зации существует обязательство, обусловленное практикой, поскольку у нее нет реал</w:t>
      </w:r>
      <w:r w:rsidRPr="008777AD">
        <w:rPr>
          <w:rFonts w:ascii="Times New Roman" w:hAnsi="Times New Roman" w:cs="Times New Roman"/>
          <w:sz w:val="24"/>
          <w:szCs w:val="24"/>
        </w:rPr>
        <w:t>и</w:t>
      </w:r>
      <w:r w:rsidRPr="008777AD">
        <w:rPr>
          <w:rFonts w:ascii="Times New Roman" w:hAnsi="Times New Roman" w:cs="Times New Roman"/>
          <w:sz w:val="24"/>
          <w:szCs w:val="24"/>
        </w:rPr>
        <w:t>стичной альтернативы выплате премии. Оценка обязательства, обусловленного практикой, отражает вероятность ухода из организации некоторых ее работников без получения пр</w:t>
      </w:r>
      <w:r w:rsidRPr="008777AD">
        <w:rPr>
          <w:rFonts w:ascii="Times New Roman" w:hAnsi="Times New Roman" w:cs="Times New Roman"/>
          <w:sz w:val="24"/>
          <w:szCs w:val="24"/>
        </w:rPr>
        <w:t>е</w:t>
      </w:r>
      <w:r w:rsidRPr="008777AD">
        <w:rPr>
          <w:rFonts w:ascii="Times New Roman" w:hAnsi="Times New Roman" w:cs="Times New Roman"/>
          <w:sz w:val="24"/>
          <w:szCs w:val="24"/>
        </w:rPr>
        <w:t>мий.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t>В соответствии с §.22 IAS 19 организация может надежно оценить свои юридические или обусловленные практикой обязательства по программе участия в прибыли или сист</w:t>
      </w:r>
      <w:r w:rsidRPr="008777AD">
        <w:rPr>
          <w:rFonts w:ascii="Times New Roman" w:hAnsi="Times New Roman" w:cs="Times New Roman"/>
          <w:sz w:val="24"/>
          <w:szCs w:val="24"/>
        </w:rPr>
        <w:t>е</w:t>
      </w:r>
      <w:r w:rsidRPr="008777AD">
        <w:rPr>
          <w:rFonts w:ascii="Times New Roman" w:hAnsi="Times New Roman" w:cs="Times New Roman"/>
          <w:sz w:val="24"/>
          <w:szCs w:val="24"/>
        </w:rPr>
        <w:t>ме премирования только в случае, если: (</w:t>
      </w:r>
      <w:proofErr w:type="spellStart"/>
      <w:r w:rsidRPr="00877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77AD">
        <w:rPr>
          <w:rFonts w:ascii="Times New Roman" w:hAnsi="Times New Roman" w:cs="Times New Roman"/>
          <w:sz w:val="24"/>
          <w:szCs w:val="24"/>
        </w:rPr>
        <w:t>) формализованные условия программы соде</w:t>
      </w:r>
      <w:r w:rsidRPr="008777AD">
        <w:rPr>
          <w:rFonts w:ascii="Times New Roman" w:hAnsi="Times New Roman" w:cs="Times New Roman"/>
          <w:sz w:val="24"/>
          <w:szCs w:val="24"/>
        </w:rPr>
        <w:t>р</w:t>
      </w:r>
      <w:r w:rsidRPr="008777AD">
        <w:rPr>
          <w:rFonts w:ascii="Times New Roman" w:hAnsi="Times New Roman" w:cs="Times New Roman"/>
          <w:sz w:val="24"/>
          <w:szCs w:val="24"/>
        </w:rPr>
        <w:t>жат формулу определения величины выплат; (</w:t>
      </w:r>
      <w:proofErr w:type="spellStart"/>
      <w:r w:rsidRPr="008777AD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777AD">
        <w:rPr>
          <w:rFonts w:ascii="Times New Roman" w:hAnsi="Times New Roman" w:cs="Times New Roman"/>
          <w:sz w:val="24"/>
          <w:szCs w:val="24"/>
        </w:rPr>
        <w:t>) организация определяет величину возн</w:t>
      </w:r>
      <w:r w:rsidRPr="008777AD">
        <w:rPr>
          <w:rFonts w:ascii="Times New Roman" w:hAnsi="Times New Roman" w:cs="Times New Roman"/>
          <w:sz w:val="24"/>
          <w:szCs w:val="24"/>
        </w:rPr>
        <w:t>а</w:t>
      </w:r>
      <w:r w:rsidRPr="008777AD">
        <w:rPr>
          <w:rFonts w:ascii="Times New Roman" w:hAnsi="Times New Roman" w:cs="Times New Roman"/>
          <w:sz w:val="24"/>
          <w:szCs w:val="24"/>
        </w:rPr>
        <w:t>граждения, подлежащего выплате, до одобрения финансовой отчетности к выпуску; или (</w:t>
      </w:r>
      <w:proofErr w:type="spellStart"/>
      <w:r w:rsidRPr="008777A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777AD">
        <w:rPr>
          <w:rFonts w:ascii="Times New Roman" w:hAnsi="Times New Roman" w:cs="Times New Roman"/>
          <w:sz w:val="24"/>
          <w:szCs w:val="24"/>
        </w:rPr>
        <w:t>) практика прошлых лет позволяет однозначно определить величину обусловленного сложившейся практикой обязательства организации.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t xml:space="preserve">В соответствии с §.22 IAS </w:t>
      </w:r>
      <w:proofErr w:type="gramStart"/>
      <w:r w:rsidRPr="008777AD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Pr="008777AD">
        <w:rPr>
          <w:rFonts w:ascii="Times New Roman" w:hAnsi="Times New Roman" w:cs="Times New Roman"/>
          <w:sz w:val="24"/>
          <w:szCs w:val="24"/>
        </w:rPr>
        <w:t xml:space="preserve"> если ожидается, что выплаты по программам участия в прибыли и премиальным вознаграждениям не будут произведены в полном объеме до и</w:t>
      </w:r>
      <w:r w:rsidRPr="008777AD">
        <w:rPr>
          <w:rFonts w:ascii="Times New Roman" w:hAnsi="Times New Roman" w:cs="Times New Roman"/>
          <w:sz w:val="24"/>
          <w:szCs w:val="24"/>
        </w:rPr>
        <w:t>с</w:t>
      </w:r>
      <w:r w:rsidRPr="008777AD">
        <w:rPr>
          <w:rFonts w:ascii="Times New Roman" w:hAnsi="Times New Roman" w:cs="Times New Roman"/>
          <w:sz w:val="24"/>
          <w:szCs w:val="24"/>
        </w:rPr>
        <w:t>течения двенадцати месяцев после окончания годового отчетного периода, в котором р</w:t>
      </w:r>
      <w:r w:rsidRPr="008777AD">
        <w:rPr>
          <w:rFonts w:ascii="Times New Roman" w:hAnsi="Times New Roman" w:cs="Times New Roman"/>
          <w:sz w:val="24"/>
          <w:szCs w:val="24"/>
        </w:rPr>
        <w:t>а</w:t>
      </w:r>
      <w:r w:rsidRPr="008777AD">
        <w:rPr>
          <w:rFonts w:ascii="Times New Roman" w:hAnsi="Times New Roman" w:cs="Times New Roman"/>
          <w:sz w:val="24"/>
          <w:szCs w:val="24"/>
        </w:rPr>
        <w:t>ботники оказали соответствующие услуги, такие выплаты будут относиться к прочим до</w:t>
      </w:r>
      <w:r w:rsidRPr="008777AD">
        <w:rPr>
          <w:rFonts w:ascii="Times New Roman" w:hAnsi="Times New Roman" w:cs="Times New Roman"/>
          <w:sz w:val="24"/>
          <w:szCs w:val="24"/>
        </w:rPr>
        <w:t>л</w:t>
      </w:r>
      <w:r w:rsidRPr="008777AD">
        <w:rPr>
          <w:rFonts w:ascii="Times New Roman" w:hAnsi="Times New Roman" w:cs="Times New Roman"/>
          <w:sz w:val="24"/>
          <w:szCs w:val="24"/>
        </w:rPr>
        <w:t>госрочным вознаграждениям работникам.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t>Обязательства по вознаграждениям работникам с неопределенной величиной и (или) сроком исполнения (оценочные обязательства) учитываются в порядке, предусмотренном ПБУ 8/2010. Оценочными обязательствами организации по вознаграждениям работникам, в частности, могут быть обязательства по выплате премий за ввод в эксплуатацию осно</w:t>
      </w:r>
      <w:r w:rsidRPr="008777AD">
        <w:rPr>
          <w:rFonts w:ascii="Times New Roman" w:hAnsi="Times New Roman" w:cs="Times New Roman"/>
          <w:sz w:val="24"/>
          <w:szCs w:val="24"/>
        </w:rPr>
        <w:t>в</w:t>
      </w:r>
      <w:r w:rsidRPr="008777AD">
        <w:rPr>
          <w:rFonts w:ascii="Times New Roman" w:hAnsi="Times New Roman" w:cs="Times New Roman"/>
          <w:sz w:val="24"/>
          <w:szCs w:val="24"/>
        </w:rPr>
        <w:t>ных средств.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7AD">
        <w:rPr>
          <w:rFonts w:ascii="Times New Roman" w:hAnsi="Times New Roman" w:cs="Times New Roman"/>
          <w:sz w:val="24"/>
          <w:szCs w:val="24"/>
        </w:rPr>
        <w:lastRenderedPageBreak/>
        <w:t>Исходя из ПБУ 8/2010 оценочное обязательство по вознаграждениям работникам может возникнуть из норм законодательных и иных нормативных правовых актов, пол</w:t>
      </w:r>
      <w:r w:rsidRPr="008777AD">
        <w:rPr>
          <w:rFonts w:ascii="Times New Roman" w:hAnsi="Times New Roman" w:cs="Times New Roman"/>
          <w:sz w:val="24"/>
          <w:szCs w:val="24"/>
        </w:rPr>
        <w:t>о</w:t>
      </w:r>
      <w:r w:rsidRPr="008777AD">
        <w:rPr>
          <w:rFonts w:ascii="Times New Roman" w:hAnsi="Times New Roman" w:cs="Times New Roman"/>
          <w:sz w:val="24"/>
          <w:szCs w:val="24"/>
        </w:rPr>
        <w:t>жений трудового или коллективного договора, а также в результате действий организ</w:t>
      </w:r>
      <w:r w:rsidRPr="008777AD">
        <w:rPr>
          <w:rFonts w:ascii="Times New Roman" w:hAnsi="Times New Roman" w:cs="Times New Roman"/>
          <w:sz w:val="24"/>
          <w:szCs w:val="24"/>
        </w:rPr>
        <w:t>а</w:t>
      </w:r>
      <w:r w:rsidRPr="008777AD">
        <w:rPr>
          <w:rFonts w:ascii="Times New Roman" w:hAnsi="Times New Roman" w:cs="Times New Roman"/>
          <w:sz w:val="24"/>
          <w:szCs w:val="24"/>
        </w:rPr>
        <w:t>ции, которые вследствие установившейся прошлой практики оплаты труда или заявлений руководства организации указывают работникам, что организация принимает на себя о</w:t>
      </w:r>
      <w:r w:rsidRPr="008777AD">
        <w:rPr>
          <w:rFonts w:ascii="Times New Roman" w:hAnsi="Times New Roman" w:cs="Times New Roman"/>
          <w:sz w:val="24"/>
          <w:szCs w:val="24"/>
        </w:rPr>
        <w:t>п</w:t>
      </w:r>
      <w:r w:rsidRPr="008777AD">
        <w:rPr>
          <w:rFonts w:ascii="Times New Roman" w:hAnsi="Times New Roman" w:cs="Times New Roman"/>
          <w:sz w:val="24"/>
          <w:szCs w:val="24"/>
        </w:rPr>
        <w:t>ределенные обязанности, и, как следствие, у работников возникают обоснованные ожид</w:t>
      </w:r>
      <w:r w:rsidRPr="008777AD">
        <w:rPr>
          <w:rFonts w:ascii="Times New Roman" w:hAnsi="Times New Roman" w:cs="Times New Roman"/>
          <w:sz w:val="24"/>
          <w:szCs w:val="24"/>
        </w:rPr>
        <w:t>а</w:t>
      </w:r>
      <w:r w:rsidRPr="008777AD">
        <w:rPr>
          <w:rFonts w:ascii="Times New Roman" w:hAnsi="Times New Roman" w:cs="Times New Roman"/>
          <w:sz w:val="24"/>
          <w:szCs w:val="24"/>
        </w:rPr>
        <w:t>ния, что</w:t>
      </w:r>
      <w:proofErr w:type="gramEnd"/>
      <w:r w:rsidRPr="008777AD">
        <w:rPr>
          <w:rFonts w:ascii="Times New Roman" w:hAnsi="Times New Roman" w:cs="Times New Roman"/>
          <w:sz w:val="24"/>
          <w:szCs w:val="24"/>
        </w:rPr>
        <w:t xml:space="preserve"> организация осуществит соответствующие выплаты.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t>В соответствии с п.5 ПБУ 8/2010 оценочное обязательство признается в бухгалте</w:t>
      </w:r>
      <w:r w:rsidRPr="008777AD">
        <w:rPr>
          <w:rFonts w:ascii="Times New Roman" w:hAnsi="Times New Roman" w:cs="Times New Roman"/>
          <w:sz w:val="24"/>
          <w:szCs w:val="24"/>
        </w:rPr>
        <w:t>р</w:t>
      </w:r>
      <w:r w:rsidRPr="008777AD">
        <w:rPr>
          <w:rFonts w:ascii="Times New Roman" w:hAnsi="Times New Roman" w:cs="Times New Roman"/>
          <w:sz w:val="24"/>
          <w:szCs w:val="24"/>
        </w:rPr>
        <w:t>ском учете при одновременном соблюдении следующих условий: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t>а) у организации существует обязанность, явившаяся следствием прошлых событий ее хозяйственной жизни, исполнения которой организация не может избежать. В случае, когда у организации возникают сомнения в наличии такой обязанности, организация пр</w:t>
      </w:r>
      <w:r w:rsidRPr="008777AD">
        <w:rPr>
          <w:rFonts w:ascii="Times New Roman" w:hAnsi="Times New Roman" w:cs="Times New Roman"/>
          <w:sz w:val="24"/>
          <w:szCs w:val="24"/>
        </w:rPr>
        <w:t>и</w:t>
      </w:r>
      <w:r w:rsidRPr="008777AD">
        <w:rPr>
          <w:rFonts w:ascii="Times New Roman" w:hAnsi="Times New Roman" w:cs="Times New Roman"/>
          <w:sz w:val="24"/>
          <w:szCs w:val="24"/>
        </w:rPr>
        <w:t>знает оценочное обязательство, если в результате анализа всех обстоятельств и условий, включая мнения экспертов, более вероятно, чем нет, что обязанность существует;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t>б) уменьшение экономических выгод организации, необходимое для исполнения оценочного обязательства, вероятно;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t>в) величина оценочного обязательства может быть обоснованно оценена.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t>Основным прошлым событием хозяйственной жизни организации, вследствие кот</w:t>
      </w:r>
      <w:r w:rsidRPr="008777AD">
        <w:rPr>
          <w:rFonts w:ascii="Times New Roman" w:hAnsi="Times New Roman" w:cs="Times New Roman"/>
          <w:sz w:val="24"/>
          <w:szCs w:val="24"/>
        </w:rPr>
        <w:t>о</w:t>
      </w:r>
      <w:r w:rsidRPr="008777AD">
        <w:rPr>
          <w:rFonts w:ascii="Times New Roman" w:hAnsi="Times New Roman" w:cs="Times New Roman"/>
          <w:sz w:val="24"/>
          <w:szCs w:val="24"/>
        </w:rPr>
        <w:t>рого у нее возникают оценочные обязательства по вознаграждениям работникам, является выполнение работником организации соответствующих трудовых функций. В соответс</w:t>
      </w:r>
      <w:r w:rsidRPr="008777AD">
        <w:rPr>
          <w:rFonts w:ascii="Times New Roman" w:hAnsi="Times New Roman" w:cs="Times New Roman"/>
          <w:sz w:val="24"/>
          <w:szCs w:val="24"/>
        </w:rPr>
        <w:t>т</w:t>
      </w:r>
      <w:r w:rsidRPr="008777AD">
        <w:rPr>
          <w:rFonts w:ascii="Times New Roman" w:hAnsi="Times New Roman" w:cs="Times New Roman"/>
          <w:sz w:val="24"/>
          <w:szCs w:val="24"/>
        </w:rPr>
        <w:t>вии с п.8 ПБУ 8/2010 при признании оценочного обязательства в зависимости от его х</w:t>
      </w:r>
      <w:r w:rsidRPr="008777AD">
        <w:rPr>
          <w:rFonts w:ascii="Times New Roman" w:hAnsi="Times New Roman" w:cs="Times New Roman"/>
          <w:sz w:val="24"/>
          <w:szCs w:val="24"/>
        </w:rPr>
        <w:t>а</w:t>
      </w:r>
      <w:r w:rsidRPr="008777AD">
        <w:rPr>
          <w:rFonts w:ascii="Times New Roman" w:hAnsi="Times New Roman" w:cs="Times New Roman"/>
          <w:sz w:val="24"/>
          <w:szCs w:val="24"/>
        </w:rPr>
        <w:t>рактера величина оценочного обязательства относится на расходы по обычным видам де</w:t>
      </w:r>
      <w:r w:rsidRPr="008777AD">
        <w:rPr>
          <w:rFonts w:ascii="Times New Roman" w:hAnsi="Times New Roman" w:cs="Times New Roman"/>
          <w:sz w:val="24"/>
          <w:szCs w:val="24"/>
        </w:rPr>
        <w:t>я</w:t>
      </w:r>
      <w:r w:rsidRPr="008777AD">
        <w:rPr>
          <w:rFonts w:ascii="Times New Roman" w:hAnsi="Times New Roman" w:cs="Times New Roman"/>
          <w:sz w:val="24"/>
          <w:szCs w:val="24"/>
        </w:rPr>
        <w:t>тельности или на прочие расходы либо включается в стоимость актива. В свою очередь, пункт 8 ПБУ 6/01 содержит открытый перечень затрат, включаемых в первоначальную стоимость основного средства, при условии что такие затраты непосредственно связаны с приобретением, сооружением и изготовлением объекта основных средств. Таким образом, если трудовые функции работника связаны с созданием основного средства, обязательства по выплате ему премий должны включаться в первоначальную стоимость этого основного средства.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t>В соответствии с п.15 ПБУ 8/2010 оценочное обязательство признается в бухгалте</w:t>
      </w:r>
      <w:r w:rsidRPr="008777AD">
        <w:rPr>
          <w:rFonts w:ascii="Times New Roman" w:hAnsi="Times New Roman" w:cs="Times New Roman"/>
          <w:sz w:val="24"/>
          <w:szCs w:val="24"/>
        </w:rPr>
        <w:t>р</w:t>
      </w:r>
      <w:r w:rsidRPr="008777AD">
        <w:rPr>
          <w:rFonts w:ascii="Times New Roman" w:hAnsi="Times New Roman" w:cs="Times New Roman"/>
          <w:sz w:val="24"/>
          <w:szCs w:val="24"/>
        </w:rPr>
        <w:t>ском учете организации в величине, отражающей наиболее достоверную денежную оце</w:t>
      </w:r>
      <w:r w:rsidRPr="008777AD">
        <w:rPr>
          <w:rFonts w:ascii="Times New Roman" w:hAnsi="Times New Roman" w:cs="Times New Roman"/>
          <w:sz w:val="24"/>
          <w:szCs w:val="24"/>
        </w:rPr>
        <w:t>н</w:t>
      </w:r>
      <w:r w:rsidRPr="008777AD">
        <w:rPr>
          <w:rFonts w:ascii="Times New Roman" w:hAnsi="Times New Roman" w:cs="Times New Roman"/>
          <w:sz w:val="24"/>
          <w:szCs w:val="24"/>
        </w:rPr>
        <w:t>ку расходов, необходимых для расчетов по этому обязательству. Наиболее достоверная оценка расходов представляет собой величину, необходимую непосредственно для испо</w:t>
      </w:r>
      <w:r w:rsidRPr="008777AD">
        <w:rPr>
          <w:rFonts w:ascii="Times New Roman" w:hAnsi="Times New Roman" w:cs="Times New Roman"/>
          <w:sz w:val="24"/>
          <w:szCs w:val="24"/>
        </w:rPr>
        <w:t>л</w:t>
      </w:r>
      <w:r w:rsidRPr="008777AD">
        <w:rPr>
          <w:rFonts w:ascii="Times New Roman" w:hAnsi="Times New Roman" w:cs="Times New Roman"/>
          <w:sz w:val="24"/>
          <w:szCs w:val="24"/>
        </w:rPr>
        <w:t>нения (погашения) обязательства по состоянию на отчетную дату или для перевода обяз</w:t>
      </w:r>
      <w:r w:rsidRPr="008777AD">
        <w:rPr>
          <w:rFonts w:ascii="Times New Roman" w:hAnsi="Times New Roman" w:cs="Times New Roman"/>
          <w:sz w:val="24"/>
          <w:szCs w:val="24"/>
        </w:rPr>
        <w:t>а</w:t>
      </w:r>
      <w:r w:rsidRPr="008777AD">
        <w:rPr>
          <w:rFonts w:ascii="Times New Roman" w:hAnsi="Times New Roman" w:cs="Times New Roman"/>
          <w:sz w:val="24"/>
          <w:szCs w:val="24"/>
        </w:rPr>
        <w:t>тельства на другое лицо по состоянию на отчетную дату. В этой связи, в случае если в</w:t>
      </w:r>
      <w:r w:rsidRPr="008777AD">
        <w:rPr>
          <w:rFonts w:ascii="Times New Roman" w:hAnsi="Times New Roman" w:cs="Times New Roman"/>
          <w:sz w:val="24"/>
          <w:szCs w:val="24"/>
        </w:rPr>
        <w:t>ы</w:t>
      </w:r>
      <w:r w:rsidRPr="008777AD">
        <w:rPr>
          <w:rFonts w:ascii="Times New Roman" w:hAnsi="Times New Roman" w:cs="Times New Roman"/>
          <w:sz w:val="24"/>
          <w:szCs w:val="24"/>
        </w:rPr>
        <w:t>платы, необходимые для расчетов по оцениваемому обязательству, являются объектом начисления страховых взносов, в величину такого обязательства включается также сумма соответствующих страховых взносов.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t>В соответствии с п.20 ПБУ 8/2010, в случае если предполагаемый срок исполнения оценочного обязательства превышает 12 месяцев после отчетной даты или меньший срок, установленный организацией в учетной политике, такое оценочное обязательство оцен</w:t>
      </w:r>
      <w:r w:rsidRPr="008777AD">
        <w:rPr>
          <w:rFonts w:ascii="Times New Roman" w:hAnsi="Times New Roman" w:cs="Times New Roman"/>
          <w:sz w:val="24"/>
          <w:szCs w:val="24"/>
        </w:rPr>
        <w:t>и</w:t>
      </w:r>
      <w:r w:rsidRPr="008777AD">
        <w:rPr>
          <w:rFonts w:ascii="Times New Roman" w:hAnsi="Times New Roman" w:cs="Times New Roman"/>
          <w:sz w:val="24"/>
          <w:szCs w:val="24"/>
        </w:rPr>
        <w:t>вается по стоимости, определяемой путем дисконтирования его величины.</w:t>
      </w:r>
    </w:p>
    <w:p w:rsidR="00363270" w:rsidRPr="008777AD" w:rsidRDefault="00363270" w:rsidP="00363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AD">
        <w:rPr>
          <w:rFonts w:ascii="Times New Roman" w:hAnsi="Times New Roman" w:cs="Times New Roman"/>
          <w:sz w:val="24"/>
          <w:szCs w:val="24"/>
        </w:rPr>
        <w:lastRenderedPageBreak/>
        <w:t>По вопросам применения второго абзаца пункта 7 ПБУ 1/08 основа для выводов и</w:t>
      </w:r>
      <w:r w:rsidRPr="008777AD">
        <w:rPr>
          <w:rFonts w:ascii="Times New Roman" w:hAnsi="Times New Roman" w:cs="Times New Roman"/>
          <w:sz w:val="24"/>
          <w:szCs w:val="24"/>
        </w:rPr>
        <w:t>з</w:t>
      </w:r>
      <w:r w:rsidRPr="008777AD">
        <w:rPr>
          <w:rFonts w:ascii="Times New Roman" w:hAnsi="Times New Roman" w:cs="Times New Roman"/>
          <w:sz w:val="24"/>
          <w:szCs w:val="24"/>
        </w:rPr>
        <w:t>ложена в Рекомендации Р-87/2017</w:t>
      </w:r>
      <w:r w:rsidRPr="008777AD">
        <w:rPr>
          <w:rFonts w:ascii="Times New Roman" w:hAnsi="Times New Roman" w:cs="Times New Roman"/>
          <w:sz w:val="24"/>
          <w:szCs w:val="24"/>
        </w:rPr>
        <w:noBreakHyphen/>
        <w:t>КпР «Унификация учетной политики по ФСБУ и по МСФО».</w:t>
      </w:r>
    </w:p>
    <w:p w:rsidR="007E29C1" w:rsidRPr="00580723" w:rsidRDefault="007E29C1" w:rsidP="00952940">
      <w:pPr>
        <w:spacing w:after="0"/>
        <w:jc w:val="center"/>
        <w:rPr>
          <w:rFonts w:ascii="Times New Roman" w:hAnsi="Times New Roman" w:cs="Times New Roman"/>
          <w:szCs w:val="24"/>
        </w:rPr>
      </w:pPr>
    </w:p>
    <w:sectPr w:rsidR="007E29C1" w:rsidRPr="00580723" w:rsidSect="00EA32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62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8A" w:rsidRDefault="00E6058A" w:rsidP="003F7FE8">
      <w:pPr>
        <w:spacing w:after="0" w:line="240" w:lineRule="auto"/>
      </w:pPr>
      <w:r>
        <w:separator/>
      </w:r>
    </w:p>
  </w:endnote>
  <w:endnote w:type="continuationSeparator" w:id="0">
    <w:p w:rsidR="00E6058A" w:rsidRDefault="00E6058A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6799"/>
      <w:docPartObj>
        <w:docPartGallery w:val="Page Numbers (Bottom of Page)"/>
        <w:docPartUnique/>
      </w:docPartObj>
    </w:sdtPr>
    <w:sdtContent>
      <w:p w:rsidR="00324504" w:rsidRPr="00C2793C" w:rsidRDefault="00C2793C" w:rsidP="00C2793C">
        <w:pPr>
          <w:pStyle w:val="af9"/>
          <w:jc w:val="right"/>
        </w:pPr>
        <w:r>
          <w:rPr>
            <w:lang w:val="en-US"/>
          </w:rPr>
          <w:t xml:space="preserve"> </w:t>
        </w:r>
        <w:r w:rsidR="00D023AB">
          <w:fldChar w:fldCharType="begin"/>
        </w:r>
        <w:r w:rsidR="00324504">
          <w:instrText>PAGE   \* MERGEFORMAT</w:instrText>
        </w:r>
        <w:r w:rsidR="00D023AB">
          <w:fldChar w:fldCharType="separate"/>
        </w:r>
        <w:r w:rsidR="00EA3268">
          <w:rPr>
            <w:noProof/>
          </w:rPr>
          <w:t>1</w:t>
        </w:r>
        <w:r w:rsidR="00D023AB"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6800"/>
      <w:docPartObj>
        <w:docPartGallery w:val="Page Numbers (Bottom of Page)"/>
        <w:docPartUnique/>
      </w:docPartObj>
    </w:sdtPr>
    <w:sdtContent>
      <w:p w:rsidR="00324504" w:rsidRDefault="00D023AB">
        <w:pPr>
          <w:pStyle w:val="af9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EA3268">
          <w:rPr>
            <w:noProof/>
          </w:rPr>
          <w:t>1</w:t>
        </w:r>
        <w:r>
          <w:fldChar w:fldCharType="end"/>
        </w:r>
      </w:p>
    </w:sdtContent>
  </w:sdt>
  <w:p w:rsidR="00324504" w:rsidRDefault="0032450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8A" w:rsidRDefault="00E6058A" w:rsidP="003F7FE8">
      <w:pPr>
        <w:spacing w:after="0" w:line="240" w:lineRule="auto"/>
      </w:pPr>
      <w:r>
        <w:separator/>
      </w:r>
    </w:p>
  </w:footnote>
  <w:footnote w:type="continuationSeparator" w:id="0">
    <w:p w:rsidR="00E6058A" w:rsidRDefault="00E6058A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68" w:rsidRDefault="00EA3268">
    <w:pPr>
      <w:pStyle w:val="af7"/>
      <w:rPr>
        <w:lang w:val="en-US"/>
      </w:rPr>
    </w:pPr>
  </w:p>
  <w:p w:rsidR="00EA3268" w:rsidRDefault="00EA3268">
    <w:pPr>
      <w:pStyle w:val="af7"/>
      <w:rPr>
        <w:lang w:val="en-US"/>
      </w:rPr>
    </w:pPr>
  </w:p>
  <w:p w:rsidR="00EA3268" w:rsidRPr="00EA3268" w:rsidRDefault="00EA3268">
    <w:pPr>
      <w:pStyle w:val="af7"/>
      <w:rPr>
        <w:lang w:val="en-US"/>
      </w:rPr>
    </w:pPr>
    <w:r w:rsidRPr="00EA3268">
      <w:rPr>
        <w:lang w:val="en-US"/>
      </w:rPr>
      <w:drawing>
        <wp:inline distT="0" distB="0" distL="0" distR="0">
          <wp:extent cx="819397" cy="307274"/>
          <wp:effectExtent l="0" t="0" r="0" b="0"/>
          <wp:docPr id="1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7"/>
    </w:pPr>
  </w:p>
  <w:p w:rsidR="00B5272F" w:rsidRDefault="00B5272F">
    <w:pPr>
      <w:pStyle w:val="af7"/>
    </w:pPr>
  </w:p>
  <w:p w:rsidR="00B5272F" w:rsidRDefault="00B5272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708B"/>
    <w:multiLevelType w:val="hybridMultilevel"/>
    <w:tmpl w:val="A0929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CC529B"/>
    <w:multiLevelType w:val="hybridMultilevel"/>
    <w:tmpl w:val="CEC02976"/>
    <w:lvl w:ilvl="0" w:tplc="A7D0715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773BB"/>
    <w:multiLevelType w:val="hybridMultilevel"/>
    <w:tmpl w:val="98DE12A6"/>
    <w:lvl w:ilvl="0" w:tplc="AC222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B4036"/>
    <w:multiLevelType w:val="hybridMultilevel"/>
    <w:tmpl w:val="9E5A865C"/>
    <w:lvl w:ilvl="0" w:tplc="AC222954">
      <w:start w:val="1"/>
      <w:numFmt w:val="russianLower"/>
      <w:pStyle w:val="a2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1E7"/>
    <w:rsid w:val="000B1D5C"/>
    <w:rsid w:val="000B2530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4953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D7CAC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3F02"/>
    <w:rsid w:val="00174033"/>
    <w:rsid w:val="00174954"/>
    <w:rsid w:val="0017580C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20C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C0338"/>
    <w:rsid w:val="001C1C15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490"/>
    <w:rsid w:val="001E1DF7"/>
    <w:rsid w:val="001E2DE1"/>
    <w:rsid w:val="001E3482"/>
    <w:rsid w:val="001E3A46"/>
    <w:rsid w:val="001E3CF2"/>
    <w:rsid w:val="001E4564"/>
    <w:rsid w:val="001E52E1"/>
    <w:rsid w:val="001F0787"/>
    <w:rsid w:val="001F0BA3"/>
    <w:rsid w:val="001F2254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4254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918"/>
    <w:rsid w:val="00265BF1"/>
    <w:rsid w:val="00266987"/>
    <w:rsid w:val="00267630"/>
    <w:rsid w:val="00270EA2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072D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129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445"/>
    <w:rsid w:val="003277CE"/>
    <w:rsid w:val="00327BC7"/>
    <w:rsid w:val="00330D65"/>
    <w:rsid w:val="0033238F"/>
    <w:rsid w:val="003327F5"/>
    <w:rsid w:val="00334802"/>
    <w:rsid w:val="00335A09"/>
    <w:rsid w:val="00335D3A"/>
    <w:rsid w:val="0033684C"/>
    <w:rsid w:val="00336A4D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3270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78E0"/>
    <w:rsid w:val="003978E7"/>
    <w:rsid w:val="0039795E"/>
    <w:rsid w:val="003A1324"/>
    <w:rsid w:val="003A1336"/>
    <w:rsid w:val="003A2732"/>
    <w:rsid w:val="003A27B4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D7C78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4FE1"/>
    <w:rsid w:val="00415A15"/>
    <w:rsid w:val="00417CC1"/>
    <w:rsid w:val="004207F6"/>
    <w:rsid w:val="0042209D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D6A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B27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3EE6"/>
    <w:rsid w:val="005354AC"/>
    <w:rsid w:val="00536353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3A31"/>
    <w:rsid w:val="0056430F"/>
    <w:rsid w:val="00564B38"/>
    <w:rsid w:val="00567CB4"/>
    <w:rsid w:val="00567ECF"/>
    <w:rsid w:val="00570D80"/>
    <w:rsid w:val="00572752"/>
    <w:rsid w:val="00572DED"/>
    <w:rsid w:val="005733D2"/>
    <w:rsid w:val="005740F3"/>
    <w:rsid w:val="00574266"/>
    <w:rsid w:val="00575BD1"/>
    <w:rsid w:val="00580723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26B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59C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2A2F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4F4"/>
    <w:rsid w:val="00685A4B"/>
    <w:rsid w:val="00687B90"/>
    <w:rsid w:val="0069251A"/>
    <w:rsid w:val="00695E36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55F4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3A6C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17A65"/>
    <w:rsid w:val="007214E7"/>
    <w:rsid w:val="00721C11"/>
    <w:rsid w:val="00722EDB"/>
    <w:rsid w:val="00723156"/>
    <w:rsid w:val="00723163"/>
    <w:rsid w:val="00723410"/>
    <w:rsid w:val="0072386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87E3B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29C1"/>
    <w:rsid w:val="007E3231"/>
    <w:rsid w:val="007E3648"/>
    <w:rsid w:val="007E7284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0A2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A8A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3ED0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6C9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194E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5DF"/>
    <w:rsid w:val="008F1E91"/>
    <w:rsid w:val="008F2740"/>
    <w:rsid w:val="008F2ADD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084A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294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B65"/>
    <w:rsid w:val="009A3F95"/>
    <w:rsid w:val="009A3FE1"/>
    <w:rsid w:val="009A47B4"/>
    <w:rsid w:val="009A4CB0"/>
    <w:rsid w:val="009A68C6"/>
    <w:rsid w:val="009A702B"/>
    <w:rsid w:val="009B03F3"/>
    <w:rsid w:val="009B0944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6800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3C81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1998"/>
    <w:rsid w:val="00A62413"/>
    <w:rsid w:val="00A64A11"/>
    <w:rsid w:val="00A65692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4D0D"/>
    <w:rsid w:val="00AA7BCE"/>
    <w:rsid w:val="00AB0A85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1E4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3E52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676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6E6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300"/>
    <w:rsid w:val="00BA44D4"/>
    <w:rsid w:val="00BA453B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9E3"/>
    <w:rsid w:val="00BE0E1B"/>
    <w:rsid w:val="00BE1762"/>
    <w:rsid w:val="00BE249E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179CF"/>
    <w:rsid w:val="00C20297"/>
    <w:rsid w:val="00C204EA"/>
    <w:rsid w:val="00C218A7"/>
    <w:rsid w:val="00C220E5"/>
    <w:rsid w:val="00C23368"/>
    <w:rsid w:val="00C24270"/>
    <w:rsid w:val="00C24690"/>
    <w:rsid w:val="00C246A4"/>
    <w:rsid w:val="00C2517B"/>
    <w:rsid w:val="00C251E8"/>
    <w:rsid w:val="00C261D8"/>
    <w:rsid w:val="00C27006"/>
    <w:rsid w:val="00C27719"/>
    <w:rsid w:val="00C2793C"/>
    <w:rsid w:val="00C323C6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15E8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0612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23AB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841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2A5"/>
    <w:rsid w:val="00DA73E2"/>
    <w:rsid w:val="00DB020E"/>
    <w:rsid w:val="00DB178D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22DD"/>
    <w:rsid w:val="00DE3E6D"/>
    <w:rsid w:val="00DE4A4D"/>
    <w:rsid w:val="00DE5CFE"/>
    <w:rsid w:val="00DE5DE5"/>
    <w:rsid w:val="00DE74D5"/>
    <w:rsid w:val="00DE75DB"/>
    <w:rsid w:val="00DF2212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58A"/>
    <w:rsid w:val="00E60772"/>
    <w:rsid w:val="00E62B70"/>
    <w:rsid w:val="00E630E8"/>
    <w:rsid w:val="00E639F2"/>
    <w:rsid w:val="00E65827"/>
    <w:rsid w:val="00E66171"/>
    <w:rsid w:val="00E674F7"/>
    <w:rsid w:val="00E72140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3268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6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4B19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968E2"/>
    <w:rsid w:val="00FA0CA4"/>
    <w:rsid w:val="00FA22DF"/>
    <w:rsid w:val="00FA2B1D"/>
    <w:rsid w:val="00FA45C8"/>
    <w:rsid w:val="00FA6165"/>
    <w:rsid w:val="00FB0D82"/>
    <w:rsid w:val="00FB2713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486D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0944"/>
  </w:style>
  <w:style w:type="paragraph" w:styleId="1">
    <w:name w:val="heading 1"/>
    <w:basedOn w:val="a3"/>
    <w:next w:val="a3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7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9">
    <w:name w:val="annotation reference"/>
    <w:basedOn w:val="a4"/>
    <w:uiPriority w:val="99"/>
    <w:semiHidden/>
    <w:unhideWhenUsed/>
    <w:rsid w:val="00C93E95"/>
    <w:rPr>
      <w:sz w:val="16"/>
      <w:szCs w:val="16"/>
    </w:rPr>
  </w:style>
  <w:style w:type="paragraph" w:styleId="aa">
    <w:name w:val="annotation text"/>
    <w:basedOn w:val="a3"/>
    <w:link w:val="ab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rsid w:val="00C93E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3E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3E9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72C9B"/>
    <w:pPr>
      <w:spacing w:after="0" w:line="240" w:lineRule="auto"/>
    </w:pPr>
  </w:style>
  <w:style w:type="paragraph" w:styleId="af">
    <w:name w:val="List Paragraph"/>
    <w:aliases w:val="нумерация,Заголовок_3,Bullet_IRAO,Мой Список,AC List 01,Подпись рисунка,Table-Normal,RSHB_Table-Normal,List Paragraph1"/>
    <w:basedOn w:val="a3"/>
    <w:link w:val="af0"/>
    <w:uiPriority w:val="34"/>
    <w:qFormat/>
    <w:rsid w:val="00820C43"/>
    <w:pPr>
      <w:ind w:left="720"/>
      <w:contextualSpacing/>
    </w:pPr>
  </w:style>
  <w:style w:type="paragraph" w:styleId="af1">
    <w:name w:val="Plain Text"/>
    <w:basedOn w:val="a3"/>
    <w:link w:val="af2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4"/>
    <w:link w:val="af1"/>
    <w:uiPriority w:val="99"/>
    <w:semiHidden/>
    <w:rsid w:val="00BA4652"/>
    <w:rPr>
      <w:rFonts w:ascii="Calibri" w:hAnsi="Calibri"/>
      <w:szCs w:val="21"/>
    </w:rPr>
  </w:style>
  <w:style w:type="paragraph" w:styleId="af3">
    <w:name w:val="footnote text"/>
    <w:basedOn w:val="a3"/>
    <w:link w:val="af4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4"/>
    <w:link w:val="af3"/>
    <w:uiPriority w:val="99"/>
    <w:rsid w:val="003F7FE8"/>
    <w:rPr>
      <w:sz w:val="20"/>
      <w:szCs w:val="20"/>
    </w:rPr>
  </w:style>
  <w:style w:type="character" w:styleId="af5">
    <w:name w:val="footnote reference"/>
    <w:basedOn w:val="a4"/>
    <w:uiPriority w:val="99"/>
    <w:unhideWhenUsed/>
    <w:rsid w:val="003F7FE8"/>
    <w:rPr>
      <w:vertAlign w:val="superscript"/>
    </w:rPr>
  </w:style>
  <w:style w:type="table" w:styleId="af6">
    <w:name w:val="Table Grid"/>
    <w:basedOn w:val="a5"/>
    <w:uiPriority w:val="5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3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4"/>
    <w:link w:val="af7"/>
    <w:uiPriority w:val="99"/>
    <w:rsid w:val="001873A7"/>
  </w:style>
  <w:style w:type="paragraph" w:styleId="af9">
    <w:name w:val="footer"/>
    <w:basedOn w:val="a3"/>
    <w:link w:val="afa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4"/>
    <w:link w:val="af9"/>
    <w:uiPriority w:val="99"/>
    <w:rsid w:val="001873A7"/>
  </w:style>
  <w:style w:type="character" w:customStyle="1" w:styleId="apple-converted-space">
    <w:name w:val="apple-converted-space"/>
    <w:basedOn w:val="a4"/>
    <w:rsid w:val="009F400E"/>
  </w:style>
  <w:style w:type="paragraph" w:styleId="afb">
    <w:name w:val="Normal (Web)"/>
    <w:basedOn w:val="a3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4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3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c">
    <w:name w:val="Абзац в параграфе"/>
    <w:basedOn w:val="a3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2">
    <w:name w:val="подпункт"/>
    <w:basedOn w:val="afc"/>
    <w:qFormat/>
    <w:rsid w:val="00D11B4A"/>
    <w:pPr>
      <w:numPr>
        <w:numId w:val="2"/>
      </w:numPr>
      <w:ind w:left="0" w:firstLine="851"/>
    </w:pPr>
  </w:style>
  <w:style w:type="paragraph" w:styleId="afd">
    <w:name w:val="Subtitle"/>
    <w:basedOn w:val="a3"/>
    <w:next w:val="a3"/>
    <w:link w:val="afe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e">
    <w:name w:val="Подзаголовок Знак"/>
    <w:basedOn w:val="a4"/>
    <w:link w:val="afd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f">
    <w:name w:val="Hyperlink"/>
    <w:basedOn w:val="a4"/>
    <w:uiPriority w:val="99"/>
    <w:unhideWhenUsed/>
    <w:rsid w:val="000738BA"/>
    <w:rPr>
      <w:color w:val="0000FF"/>
      <w:u w:val="single"/>
    </w:rPr>
  </w:style>
  <w:style w:type="character" w:styleId="aff0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3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3"/>
    <w:rsid w:val="007B4B0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57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1">
    <w:name w:val="Перечень"/>
    <w:basedOn w:val="af"/>
    <w:link w:val="aff1"/>
    <w:uiPriority w:val="99"/>
    <w:rsid w:val="00C179CF"/>
    <w:pPr>
      <w:numPr>
        <w:numId w:val="5"/>
      </w:numPr>
      <w:spacing w:before="120" w:after="0"/>
      <w:ind w:left="851" w:hanging="284"/>
      <w:contextualSpacing w:val="0"/>
      <w:jc w:val="both"/>
    </w:pPr>
    <w:rPr>
      <w:rFonts w:ascii="Times New Roman CYR" w:eastAsia="Calibri" w:hAnsi="Times New Roman CYR" w:cs="Times New Roman"/>
      <w:color w:val="006666"/>
      <w:sz w:val="24"/>
      <w:lang w:eastAsia="en-US"/>
    </w:rPr>
  </w:style>
  <w:style w:type="character" w:customStyle="1" w:styleId="af0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"/>
    <w:link w:val="af"/>
    <w:uiPriority w:val="34"/>
    <w:locked/>
    <w:rsid w:val="00C179CF"/>
  </w:style>
  <w:style w:type="character" w:customStyle="1" w:styleId="aff1">
    <w:name w:val="Перечень Знак"/>
    <w:link w:val="a1"/>
    <w:uiPriority w:val="99"/>
    <w:locked/>
    <w:rsid w:val="00C179CF"/>
    <w:rPr>
      <w:rFonts w:ascii="Times New Roman CYR" w:eastAsia="Calibri" w:hAnsi="Times New Roman CYR" w:cs="Times New Roman"/>
      <w:color w:val="006666"/>
      <w:sz w:val="24"/>
      <w:lang w:eastAsia="en-US"/>
    </w:rPr>
  </w:style>
  <w:style w:type="paragraph" w:customStyle="1" w:styleId="11">
    <w:name w:val="Абзац списка1"/>
    <w:basedOn w:val="a3"/>
    <w:rsid w:val="008130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2">
    <w:name w:val="???????"/>
    <w:rsid w:val="0082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7F90-BEBA-4480-B943-69657404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2017-11-03T09:34:00Z</cp:lastPrinted>
  <dcterms:created xsi:type="dcterms:W3CDTF">2018-12-04T13:31:00Z</dcterms:created>
  <dcterms:modified xsi:type="dcterms:W3CDTF">2018-12-19T13:42:00Z</dcterms:modified>
</cp:coreProperties>
</file>