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d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d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F04B19" w:rsidRPr="00723860" w:rsidRDefault="00F04B19" w:rsidP="00F04B19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proofErr w:type="gramStart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</w:t>
      </w:r>
      <w:proofErr w:type="gramEnd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Комитетом по рекомендациям 201</w:t>
      </w:r>
      <w:r w:rsidR="00C615E8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6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0</w:t>
      </w:r>
      <w:r w:rsidR="00C615E8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1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FB2713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1</w:t>
      </w:r>
      <w:r w:rsidR="00C615E8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5</w:t>
      </w:r>
    </w:p>
    <w:p w:rsidR="008B194E" w:rsidRPr="00723860" w:rsidRDefault="008B194E" w:rsidP="003A27B4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r>
        <w:rPr>
          <w:i/>
          <w:color w:val="008080"/>
          <w:sz w:val="16"/>
          <w:szCs w:val="16"/>
        </w:rPr>
        <w:t xml:space="preserve">     </w:t>
      </w:r>
    </w:p>
    <w:p w:rsidR="00580723" w:rsidRPr="00C615E8" w:rsidRDefault="00580723" w:rsidP="00C615E8">
      <w:pPr>
        <w:pStyle w:val="1"/>
        <w:jc w:val="center"/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</w:pPr>
      <w:r w:rsidRPr="00C615E8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РЕКОМЕНДАЦИЯ  Р-6</w:t>
      </w:r>
      <w:r w:rsidR="00413253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7</w:t>
      </w:r>
      <w:r w:rsidRPr="00C615E8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/</w:t>
      </w:r>
      <w:r w:rsidR="00413253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20</w:t>
      </w:r>
      <w:r w:rsidRPr="00C615E8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16</w:t>
      </w:r>
      <w:r w:rsidR="00413253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 xml:space="preserve"> КпР</w:t>
      </w:r>
      <w:r w:rsidRPr="00C615E8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br/>
        <w:t>«ОТЛОЖЕННЫЙ НАЛОГОВЫЙ АКТИВ ОТ УБЫТКА КОНСОЛИД</w:t>
      </w:r>
      <w:r w:rsidRPr="00C615E8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И</w:t>
      </w:r>
      <w:r w:rsidRPr="00C615E8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РОВАННОЙ ГРУППЫ НАЛОГОПЛАТЕЛЬЩИКОВ»</w:t>
      </w:r>
    </w:p>
    <w:p w:rsidR="00580723" w:rsidRPr="00580723" w:rsidRDefault="00580723" w:rsidP="00580723">
      <w:pPr>
        <w:pStyle w:val="2"/>
        <w:rPr>
          <w:rFonts w:ascii="Times New Roman" w:hAnsi="Times New Roman" w:cs="Times New Roman"/>
          <w:szCs w:val="24"/>
        </w:rPr>
      </w:pPr>
      <w:r w:rsidRPr="00580723">
        <w:rPr>
          <w:rFonts w:ascii="Times New Roman" w:hAnsi="Times New Roman" w:cs="Times New Roman"/>
          <w:szCs w:val="24"/>
        </w:rPr>
        <w:t>ОПИСАНИЕ ПРОБЛЕМЫ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Налоговое законодательство Российской Федерации позволяет нескольким взаимосвязанным нал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гоплательщикам при соблюдении определённых условий создавать консолидированную группу н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 xml:space="preserve">логоплательщиков (КГН) и уплачивать налог на прибыль организаций от имени этой группы как от одного лица.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При этом отношения с бюджетом в части уплаты налога на прибыль от имени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 xml:space="preserve"> КГН во</w:t>
      </w:r>
      <w:r w:rsidRPr="00580723">
        <w:rPr>
          <w:rFonts w:ascii="Times New Roman" w:hAnsi="Times New Roman" w:cs="Times New Roman"/>
          <w:sz w:val="24"/>
          <w:szCs w:val="24"/>
        </w:rPr>
        <w:t>з</w:t>
      </w:r>
      <w:r w:rsidRPr="00580723">
        <w:rPr>
          <w:rFonts w:ascii="Times New Roman" w:hAnsi="Times New Roman" w:cs="Times New Roman"/>
          <w:sz w:val="24"/>
          <w:szCs w:val="24"/>
        </w:rPr>
        <w:t>лагаются на одного из участников КГН, который назначается ответственным участником. Между тем показатели налогообложения прибыли должны формироваться в соответствии с ПБУ 18/02 «Учёт расчётов по налогу на прибыль» каждым участником КГН исходя из собственных финансовых р</w:t>
      </w:r>
      <w:r w:rsidRPr="00580723">
        <w:rPr>
          <w:rFonts w:ascii="Times New Roman" w:hAnsi="Times New Roman" w:cs="Times New Roman"/>
          <w:sz w:val="24"/>
          <w:szCs w:val="24"/>
        </w:rPr>
        <w:t>е</w:t>
      </w:r>
      <w:r w:rsidRPr="00580723">
        <w:rPr>
          <w:rFonts w:ascii="Times New Roman" w:hAnsi="Times New Roman" w:cs="Times New Roman"/>
          <w:sz w:val="24"/>
          <w:szCs w:val="24"/>
        </w:rPr>
        <w:t>зультатов.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В марте 2012 года Минфин РФ направил в адрес ответственных участников, представляющих кру</w:t>
      </w:r>
      <w:r w:rsidRPr="00580723">
        <w:rPr>
          <w:rFonts w:ascii="Times New Roman" w:hAnsi="Times New Roman" w:cs="Times New Roman"/>
          <w:sz w:val="24"/>
          <w:szCs w:val="24"/>
        </w:rPr>
        <w:t>п</w:t>
      </w:r>
      <w:r w:rsidRPr="00580723">
        <w:rPr>
          <w:rFonts w:ascii="Times New Roman" w:hAnsi="Times New Roman" w:cs="Times New Roman"/>
          <w:sz w:val="24"/>
          <w:szCs w:val="24"/>
        </w:rPr>
        <w:t>нейшие КГН, идентичные письма, разъясняющие порядок бухгалтерского учёта показателей налог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обложения прибыли для организаций, являющихся участниками КГН, включая ответственного уч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 xml:space="preserve">стника. В этих письмах указывается, в частности, что каждый участник КГН формирует данные о своих отложенных налоговых активах и обязательствах, исходя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 xml:space="preserve"> своих временных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>. При этом в случае получения любым участником КГН, включая ответственного участника, налогового убытка отложенный налоговый актив не формируется, поскольку такой убыток вычитается из нал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гооблагаемой прибыли других участников этой КГН.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Однако в указанных письмах не рассматривается ситуация, когда налоговый убыток за год сформ</w:t>
      </w:r>
      <w:r w:rsidRPr="00580723">
        <w:rPr>
          <w:rFonts w:ascii="Times New Roman" w:hAnsi="Times New Roman" w:cs="Times New Roman"/>
          <w:sz w:val="24"/>
          <w:szCs w:val="24"/>
        </w:rPr>
        <w:t>и</w:t>
      </w:r>
      <w:r w:rsidRPr="00580723">
        <w:rPr>
          <w:rFonts w:ascii="Times New Roman" w:hAnsi="Times New Roman" w:cs="Times New Roman"/>
          <w:sz w:val="24"/>
          <w:szCs w:val="24"/>
        </w:rPr>
        <w:t>ровался по КГН в целом. В этом случае Налоговый кодекс РФ не предусматривает возврат налога на прибыль из бюджета в пользу КГН, но позволяет (как и в случае с индивидуальным налогоплател</w:t>
      </w:r>
      <w:r w:rsidRPr="00580723">
        <w:rPr>
          <w:rFonts w:ascii="Times New Roman" w:hAnsi="Times New Roman" w:cs="Times New Roman"/>
          <w:sz w:val="24"/>
          <w:szCs w:val="24"/>
        </w:rPr>
        <w:t>ь</w:t>
      </w:r>
      <w:r w:rsidRPr="00580723">
        <w:rPr>
          <w:rFonts w:ascii="Times New Roman" w:hAnsi="Times New Roman" w:cs="Times New Roman"/>
          <w:sz w:val="24"/>
          <w:szCs w:val="24"/>
        </w:rPr>
        <w:t xml:space="preserve">щиком) вычесть сумму полученного убытка из налогооблагаемой прибыли КГН следующего года (следующих лет). Право на получение такого вычета в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 xml:space="preserve"> по сути представляет собой отл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женный налоговый актив в смысле положений ПБУ 18/02. Однако в отличие от индивидуального н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логоплательщика, такой отложенный налоговый актив не соотносится экономически с финансовыми результатами какого-либо участника КГН, в том числе не соотносится с финансовыми результатами ответственного участника КГН. Этот актив представляет собой право группы в целом. Ответстве</w:t>
      </w:r>
      <w:r w:rsidRPr="00580723">
        <w:rPr>
          <w:rFonts w:ascii="Times New Roman" w:hAnsi="Times New Roman" w:cs="Times New Roman"/>
          <w:sz w:val="24"/>
          <w:szCs w:val="24"/>
        </w:rPr>
        <w:t>н</w:t>
      </w:r>
      <w:r w:rsidRPr="00580723">
        <w:rPr>
          <w:rFonts w:ascii="Times New Roman" w:hAnsi="Times New Roman" w:cs="Times New Roman"/>
          <w:sz w:val="24"/>
          <w:szCs w:val="24"/>
        </w:rPr>
        <w:t>ный участник в данном случае является лицом, через которое группа реализует такое право.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23">
        <w:rPr>
          <w:rFonts w:ascii="Times New Roman" w:hAnsi="Times New Roman" w:cs="Times New Roman"/>
          <w:sz w:val="24"/>
          <w:szCs w:val="24"/>
        </w:rPr>
        <w:lastRenderedPageBreak/>
        <w:t>Необходимо определить порядок учёта ответственным участником КГН отложенного налогового а</w:t>
      </w:r>
      <w:r w:rsidRPr="00580723">
        <w:rPr>
          <w:rFonts w:ascii="Times New Roman" w:hAnsi="Times New Roman" w:cs="Times New Roman"/>
          <w:sz w:val="24"/>
          <w:szCs w:val="24"/>
        </w:rPr>
        <w:t>к</w:t>
      </w:r>
      <w:r w:rsidRPr="00580723">
        <w:rPr>
          <w:rFonts w:ascii="Times New Roman" w:hAnsi="Times New Roman" w:cs="Times New Roman"/>
          <w:sz w:val="24"/>
          <w:szCs w:val="24"/>
        </w:rPr>
        <w:t>тива, образующегося в связи с переносом на будущие году полученного КГН в целом налогового убытка.</w:t>
      </w:r>
      <w:proofErr w:type="gramEnd"/>
    </w:p>
    <w:p w:rsidR="00580723" w:rsidRPr="00580723" w:rsidRDefault="00580723" w:rsidP="00580723">
      <w:pPr>
        <w:pStyle w:val="2"/>
        <w:rPr>
          <w:rFonts w:ascii="Times New Roman" w:hAnsi="Times New Roman" w:cs="Times New Roman"/>
          <w:szCs w:val="24"/>
        </w:rPr>
      </w:pPr>
      <w:r w:rsidRPr="00580723">
        <w:rPr>
          <w:rFonts w:ascii="Times New Roman" w:hAnsi="Times New Roman" w:cs="Times New Roman"/>
          <w:szCs w:val="24"/>
        </w:rPr>
        <w:t>РЕШЕНИЕ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gramStart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Организация, являющаяся участником консолидированной группы налогоплательщиков (д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лее – КГН), формирует в бухгалтерском учёте показатели налогообложения прибыли и пре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ставляет их в своей бухгалтерской (финансовой) отчётности в порядке, изложенном в письмах Минфина РФ, выдержка из которых приведена в Приложении 2 к настоящей Рекомендации, с учётом изложенного в пунктах 2 – 9 настоящей Рекомендации.</w:t>
      </w:r>
      <w:proofErr w:type="gramEnd"/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получения КГН в целом налогового убытка по итогам года, в бухгалтерском учёте участников КГН в отношении суммы такого убытка признаётся (при соблюдении соответс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вующих условий, предусмотренных ПБУ 18/02) отложенный налоговый актив. Указанный консолидированный отложенный налоговый актив (далее – КОНА) учитывается по выбору участников КГН одним из двух следующих способов:</w:t>
      </w:r>
    </w:p>
    <w:p w:rsidR="00580723" w:rsidRPr="00580723" w:rsidRDefault="00580723" w:rsidP="00580723">
      <w:pPr>
        <w:ind w:left="72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а) без распределения (пункты 3 – 5 настоящей Рекомендации);</w:t>
      </w:r>
    </w:p>
    <w:p w:rsidR="00580723" w:rsidRPr="00580723" w:rsidRDefault="00580723" w:rsidP="00580723">
      <w:pPr>
        <w:ind w:left="72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б) с распределением (пункты 6 – 8 настоящей Рекомендации).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учёта КОНА «без распределения» КОНА учитывается исключительно ответстве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ным участником КГН и не учитывается другими участниками КГН. Ответственный участник КГН признаёт КОНА в своём бухгалтерском учёте в корреспонденции с кредитом счета 78 «Расчеты с участниками консолидированной группы налогоплательщиков». КОНА не зач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тывается против отложенных налоговых обязательств ответственного участника КГН и пре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ставляется в его бухгалтерском балансе обособленно от его отложенных налоговых активов, признанных в связи </w:t>
      </w:r>
      <w:proofErr w:type="gramStart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</w:t>
      </w:r>
      <w:proofErr w:type="gramEnd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временными </w:t>
      </w:r>
      <w:proofErr w:type="spellStart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разницами</w:t>
      </w:r>
      <w:proofErr w:type="spellEnd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по налогу на прибыль.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учёта КОНА «без распределения» КОНА списывается ответственным участником КГН в корреспонденции с дебетом счёта 68 (субсчёт «Расчёты по налогу на прибыль КГН») в той степени, в которой понесённый КГН в предшествующих периодах налоговый убыток в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ы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читается из налоговой базы КГН за текущий период. КОНА списывается ответственным уч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стником КГН в корреспонденции с дебетом счёта 78 «Расчеты с участниками консолидир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ванной группы налогоплательщиков», если группа теряет право вычета из налоговой базы п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лученного ранее налогового убытка, либо если получение группой в будущем достаточной налогооблагаемой прибыли для использования такого права до </w:t>
      </w:r>
      <w:proofErr w:type="gramStart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истечения</w:t>
      </w:r>
      <w:proofErr w:type="gramEnd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установленного з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конодательством срока более не является вероятным.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учёта КОНА «без распределения» признание КОНА, последующие изменения в его величине и его списание в отчёте о финансовых результатах ответственного участника КГН не представляются.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учёта КОНА «с распределением» признаваемая за отчётный год величина КОНА распределяется между участниками КГН исходя из условий распределения налогового брем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ни между её участниками по договору между ними. При этом КОНА не может распределяться на участников, получивших в отчётном году налогооблагаемую прибыль. Кроме того, сумма КОНА, приходящаяся на отдельного «убыточного» участника КГН, не может превышать р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зультат умножения полученного этим участником налогового убытка на соответствующую налоговую ставку.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учёта КОНА «с распределением», когда понесённый КГН в предшествующих п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риодах налоговый убыток вычитается из налоговой базы КГН за текущий период, суммы р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нее признанного КОНА списываются теми участниками КГН, которые их признавали. При 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этом распределение общей списываемой суммы между соответствующими участниками КГН осуществляется аналогично тому, как части КОНА распределялись ранее при их признании. Аналогичным образом осуществляется распределение КОНА, списываемого в связи с тем, что группа теряет право вычета из налоговой базы полученного ранее налогового убытка, либо если получение группой в будущем достаточной налогооблагаемой прибыли для использов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ния такого права до </w:t>
      </w:r>
      <w:proofErr w:type="gramStart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истечения</w:t>
      </w:r>
      <w:proofErr w:type="gramEnd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установленного законодательством срока более не является в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роятным.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gramStart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учёта КОНА «с распределением» признание приходящейся на отдельного участника КГН части КОНА, последующие изменения в этой величине и её списание учитываются этим участником и отражаются в его бухгалтерском балансе и в его отчёте о финансовых результ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тах в обычном порядке – так, как он учитывает отложенные налоговые активы, признаваемые в связи с временными </w:t>
      </w:r>
      <w:proofErr w:type="spellStart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разницами</w:t>
      </w:r>
      <w:proofErr w:type="spellEnd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по налогу на прибыль.</w:t>
      </w:r>
      <w:proofErr w:type="gramEnd"/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 частности, приходящаяся на о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дельного участника КГН часть КОНА может не обособляться в бухгалтерском балансе от его обычных отложенных налоговых активов и может зачитываться против его отложенных нал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говых обязательств. Аналогично, изменения в приходящейся на отдельного участника КГН части КОНА за отчётный период могут не обособляться в отчёте о финансовых результатах от изменений в его отложенных налоговых активах и обязательствах.</w:t>
      </w:r>
    </w:p>
    <w:p w:rsidR="00580723" w:rsidRPr="00580723" w:rsidRDefault="00580723" w:rsidP="0058072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Все участники КГН должны согласовать между собой свою учётную политику, выбрав ед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ный вариант учёта КОНА. Не допускается одновременное применение обоих вариантов учёта, предусмотренных пунктом 2 настоящей Рекомендации, в каких-либо сочетаниях. Вместе с тем, в случае учёта КОНА «с распределением» участники КГН могут применять пункты 6 – 8 настоящей рекомендации только в целях формирования годовой бухгалтерской отчётности. При этом текущий бухгалтерский учёт и формирование данных для любой промежуточной бухгалтерской отчётности может осуществляться исходя из принципа рациональности. В ч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стности, текущий учёт КОНА может осуществляться только ответственным участником КГН.</w:t>
      </w:r>
    </w:p>
    <w:p w:rsidR="00580723" w:rsidRPr="00580723" w:rsidRDefault="00580723" w:rsidP="00580723">
      <w:pPr>
        <w:pStyle w:val="2"/>
        <w:rPr>
          <w:rFonts w:ascii="Times New Roman" w:hAnsi="Times New Roman" w:cs="Times New Roman"/>
          <w:szCs w:val="24"/>
        </w:rPr>
      </w:pPr>
      <w:r w:rsidRPr="00580723">
        <w:rPr>
          <w:rFonts w:ascii="Times New Roman" w:hAnsi="Times New Roman" w:cs="Times New Roman"/>
          <w:szCs w:val="24"/>
        </w:rPr>
        <w:t>ОСНОВА ДЛЯ ВЫВОДОВ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В письмах Минфина РФ, направленных в адрес ответственных участников крупнейших КГН, ра</w:t>
      </w:r>
      <w:r w:rsidRPr="00580723">
        <w:rPr>
          <w:rFonts w:ascii="Times New Roman" w:hAnsi="Times New Roman" w:cs="Times New Roman"/>
          <w:sz w:val="24"/>
          <w:szCs w:val="24"/>
        </w:rPr>
        <w:t>с</w:t>
      </w:r>
      <w:r w:rsidRPr="00580723">
        <w:rPr>
          <w:rFonts w:ascii="Times New Roman" w:hAnsi="Times New Roman" w:cs="Times New Roman"/>
          <w:sz w:val="24"/>
          <w:szCs w:val="24"/>
        </w:rPr>
        <w:t>сматривается порядок учёта показателей налогообложения прибыли каждого из участников КГН (включая ответственного участника) с точки зрения его индивидуальных финансовых результатов. В этой связи в письмах предусмотрено, что по полученному участником КГН в отчетном периоде н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логовому убытку отложенный налоговый актив в его бухгалтерском учете не формируется.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Такой подход можно считать обоснованным, поскольку в случае получения участником КГН в о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четном периоде налогового убытка, этот убыток в целях налогообложения может вычитаться из н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логооблагаемой прибыли других участников КГН в рамках формирования консолидированной нал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говой базы за отчётный период. В этой связи отсутствуют основания для формирования отложенного налогового актива в отношении убытка любого отдельно взятого участника КГН, включая ответс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венного участника, поскольку такой убыток на будущие периоды не переносится.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Вместе с тем, такой вывод основывается на презумпции получения КГН в целом налогооблагаемой прибыли. Однако получение прибыли не гарантировано. Возможна ситуация, когда по итогам года суммарная налоговая база по КГН в целом окажется отрицательной. В этом случае такой консолид</w:t>
      </w:r>
      <w:r w:rsidRPr="00580723">
        <w:rPr>
          <w:rFonts w:ascii="Times New Roman" w:hAnsi="Times New Roman" w:cs="Times New Roman"/>
          <w:sz w:val="24"/>
          <w:szCs w:val="24"/>
        </w:rPr>
        <w:t>и</w:t>
      </w:r>
      <w:r w:rsidRPr="00580723">
        <w:rPr>
          <w:rFonts w:ascii="Times New Roman" w:hAnsi="Times New Roman" w:cs="Times New Roman"/>
          <w:sz w:val="24"/>
          <w:szCs w:val="24"/>
        </w:rPr>
        <w:t>рованный налоговый убыток в соответствии с налоговым законодательством (ст. 283 НК РФ) может (с определёнными ограничениями) вычитаться из налогооблагаемой прибыли КГН в будущих п</w:t>
      </w:r>
      <w:r w:rsidRPr="00580723">
        <w:rPr>
          <w:rFonts w:ascii="Times New Roman" w:hAnsi="Times New Roman" w:cs="Times New Roman"/>
          <w:sz w:val="24"/>
          <w:szCs w:val="24"/>
        </w:rPr>
        <w:t>е</w:t>
      </w:r>
      <w:r w:rsidRPr="00580723">
        <w:rPr>
          <w:rFonts w:ascii="Times New Roman" w:hAnsi="Times New Roman" w:cs="Times New Roman"/>
          <w:sz w:val="24"/>
          <w:szCs w:val="24"/>
        </w:rPr>
        <w:t xml:space="preserve">риодах. Исходя из подходов, закреплённых в Положении по бухгалтерскому учету «Учет расчетов по налогу на прибыль организаций» ПБУ 18/02 (а также в международном стандарте </w:t>
      </w:r>
      <w:r w:rsidRPr="00580723">
        <w:rPr>
          <w:rFonts w:ascii="Times New Roman" w:hAnsi="Times New Roman" w:cs="Times New Roman"/>
          <w:sz w:val="24"/>
          <w:szCs w:val="24"/>
          <w:lang w:val="en-US"/>
        </w:rPr>
        <w:t>IAS </w:t>
      </w:r>
      <w:r w:rsidRPr="00580723">
        <w:rPr>
          <w:rFonts w:ascii="Times New Roman" w:hAnsi="Times New Roman" w:cs="Times New Roman"/>
          <w:sz w:val="24"/>
          <w:szCs w:val="24"/>
        </w:rPr>
        <w:t>12 «Налоги на прибыль»), в отношении такого убытка должен признаваться отложенный налоговый актив.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23">
        <w:rPr>
          <w:rFonts w:ascii="Times New Roman" w:hAnsi="Times New Roman" w:cs="Times New Roman"/>
          <w:sz w:val="24"/>
          <w:szCs w:val="24"/>
        </w:rPr>
        <w:lastRenderedPageBreak/>
        <w:t>В соответствии с п.11 ПБУ 18/02 вычитаемые временные разницы помимо прочего образуются в р</w:t>
      </w:r>
      <w:r w:rsidRPr="00580723">
        <w:rPr>
          <w:rFonts w:ascii="Times New Roman" w:hAnsi="Times New Roman" w:cs="Times New Roman"/>
          <w:sz w:val="24"/>
          <w:szCs w:val="24"/>
        </w:rPr>
        <w:t>е</w:t>
      </w:r>
      <w:r w:rsidRPr="00580723">
        <w:rPr>
          <w:rFonts w:ascii="Times New Roman" w:hAnsi="Times New Roman" w:cs="Times New Roman"/>
          <w:sz w:val="24"/>
          <w:szCs w:val="24"/>
        </w:rPr>
        <w:t>зультате убытка, перенесенного на будущее, не использованного для уменьшения налога на прибыль в отчетном периоде, но который будет принят в целях налогообложения в последующих отчетных периодах, если иное не предусмотрено законодательством Российской Федерации о налогах и сб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рах.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 xml:space="preserve"> В соответствии с п.14 ПБУ 18/02 отложенные налоговые активы отражаются в бухгалтерском учете с учетом всех вычитаемых временных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>, за исключением случаев, когда существует в</w:t>
      </w:r>
      <w:r w:rsidRPr="00580723">
        <w:rPr>
          <w:rFonts w:ascii="Times New Roman" w:hAnsi="Times New Roman" w:cs="Times New Roman"/>
          <w:sz w:val="24"/>
          <w:szCs w:val="24"/>
        </w:rPr>
        <w:t>е</w:t>
      </w:r>
      <w:r w:rsidRPr="00580723">
        <w:rPr>
          <w:rFonts w:ascii="Times New Roman" w:hAnsi="Times New Roman" w:cs="Times New Roman"/>
          <w:sz w:val="24"/>
          <w:szCs w:val="24"/>
        </w:rPr>
        <w:t>роятность того, что вычитаемая временная разница не будет уменьшена или полностью погашена в последующих отчетных периодах.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 xml:space="preserve">Международный стандарт финансовой отчетности </w:t>
      </w:r>
      <w:r w:rsidRPr="00580723">
        <w:rPr>
          <w:rFonts w:ascii="Times New Roman" w:hAnsi="Times New Roman" w:cs="Times New Roman"/>
          <w:sz w:val="24"/>
          <w:szCs w:val="24"/>
          <w:lang w:val="en-US"/>
        </w:rPr>
        <w:t>IAS </w:t>
      </w:r>
      <w:r w:rsidRPr="00580723">
        <w:rPr>
          <w:rFonts w:ascii="Times New Roman" w:hAnsi="Times New Roman" w:cs="Times New Roman"/>
          <w:sz w:val="24"/>
          <w:szCs w:val="24"/>
        </w:rPr>
        <w:t>12 «Налоги на прибыль», в отличие от своего российского аналога ПБУ 18/02, не рассматривает переносимый на будущее налоговый убыток в к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честве временной разницы (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 xml:space="preserve">. 24 – 31). Тем не менее, </w:t>
      </w:r>
      <w:r w:rsidRPr="00580723">
        <w:rPr>
          <w:rFonts w:ascii="Times New Roman" w:hAnsi="Times New Roman" w:cs="Times New Roman"/>
          <w:sz w:val="24"/>
          <w:szCs w:val="24"/>
          <w:lang w:val="en-US"/>
        </w:rPr>
        <w:t>IAS </w:t>
      </w:r>
      <w:r w:rsidRPr="00580723">
        <w:rPr>
          <w:rFonts w:ascii="Times New Roman" w:hAnsi="Times New Roman" w:cs="Times New Roman"/>
          <w:sz w:val="24"/>
          <w:szCs w:val="24"/>
        </w:rPr>
        <w:t>12 так же, как и ПБУ 18/02, требует пр</w:t>
      </w:r>
      <w:r w:rsidRPr="00580723">
        <w:rPr>
          <w:rFonts w:ascii="Times New Roman" w:hAnsi="Times New Roman" w:cs="Times New Roman"/>
          <w:sz w:val="24"/>
          <w:szCs w:val="24"/>
        </w:rPr>
        <w:t>и</w:t>
      </w:r>
      <w:r w:rsidRPr="00580723">
        <w:rPr>
          <w:rFonts w:ascii="Times New Roman" w:hAnsi="Times New Roman" w:cs="Times New Roman"/>
          <w:sz w:val="24"/>
          <w:szCs w:val="24"/>
        </w:rPr>
        <w:t>знавать в отношении переносимого на будущее налогового убытка отложенный налоговый актив (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>. 34 – 37). Ограничения на признание такого актива в целом сводятся так же, как и в ПБУ 18/02, к в</w:t>
      </w:r>
      <w:r w:rsidRPr="00580723">
        <w:rPr>
          <w:rFonts w:ascii="Times New Roman" w:hAnsi="Times New Roman" w:cs="Times New Roman"/>
          <w:sz w:val="24"/>
          <w:szCs w:val="24"/>
        </w:rPr>
        <w:t>е</w:t>
      </w:r>
      <w:r w:rsidRPr="00580723">
        <w:rPr>
          <w:rFonts w:ascii="Times New Roman" w:hAnsi="Times New Roman" w:cs="Times New Roman"/>
          <w:sz w:val="24"/>
          <w:szCs w:val="24"/>
        </w:rPr>
        <w:t>роятности получения в будущем достаточной налогооблагаемой прибыли для использования такого отложенного налогового актива.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Таким образом, подходы российского и международного стандартов в рассматриваемом вопросе аналогичны. Особенность рассматриваемой ситуации в случае с КГН состоит в том, что, консолид</w:t>
      </w:r>
      <w:r w:rsidRPr="00580723">
        <w:rPr>
          <w:rFonts w:ascii="Times New Roman" w:hAnsi="Times New Roman" w:cs="Times New Roman"/>
          <w:sz w:val="24"/>
          <w:szCs w:val="24"/>
        </w:rPr>
        <w:t>и</w:t>
      </w:r>
      <w:r w:rsidRPr="00580723">
        <w:rPr>
          <w:rFonts w:ascii="Times New Roman" w:hAnsi="Times New Roman" w:cs="Times New Roman"/>
          <w:sz w:val="24"/>
          <w:szCs w:val="24"/>
        </w:rPr>
        <w:t>рованный отложенный налоговый актив (КОНА), возникающий у КГН в связи с полученным ею суммарным налоговым убытком, отражает возможности КГН только как совокупности организаций. КОНА не является отложенным налоговым активом ни одного из участников КГН, включая ответс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венного участника.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Вместе с тем, налоговая выгода, которую получит КГН в целом, уменьшая суммы налога к уплате в будущих периодах на величину КОНА, является одновременно потенциальной выгодой всех учас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ников КГН. Отсутствие возможности прямого соотнесения этой выгоды с каждым из участников КГН не является препятствием для её косвенного соотнесения путём распределения общего отл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женного налогового актива КГН между участниками, получившими в отчётном периоде налоговый убыток. Поскольку налоговым законодательством РФ распределение сумм налога на прибыль, пр</w:t>
      </w:r>
      <w:r w:rsidRPr="00580723">
        <w:rPr>
          <w:rFonts w:ascii="Times New Roman" w:hAnsi="Times New Roman" w:cs="Times New Roman"/>
          <w:sz w:val="24"/>
          <w:szCs w:val="24"/>
        </w:rPr>
        <w:t>и</w:t>
      </w:r>
      <w:r w:rsidRPr="00580723">
        <w:rPr>
          <w:rFonts w:ascii="Times New Roman" w:hAnsi="Times New Roman" w:cs="Times New Roman"/>
          <w:sz w:val="24"/>
          <w:szCs w:val="24"/>
        </w:rPr>
        <w:t>читающихся с каждого из участников КГН для уплаты ответственным участником в бюджет, оста</w:t>
      </w:r>
      <w:r w:rsidRPr="00580723">
        <w:rPr>
          <w:rFonts w:ascii="Times New Roman" w:hAnsi="Times New Roman" w:cs="Times New Roman"/>
          <w:sz w:val="24"/>
          <w:szCs w:val="24"/>
        </w:rPr>
        <w:t>в</w:t>
      </w:r>
      <w:r w:rsidRPr="00580723">
        <w:rPr>
          <w:rFonts w:ascii="Times New Roman" w:hAnsi="Times New Roman" w:cs="Times New Roman"/>
          <w:sz w:val="24"/>
          <w:szCs w:val="24"/>
        </w:rPr>
        <w:t>лено на усмотрение КГН и определяется их соглашением между собой, то аналогичным образом м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жет распределяться и КОНА.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Распределяя КОНА между участниками КГН, следует иметь в виду, что такое распределение носит условный характер в связи с «договорной» основой выбора базы для такого распределения. Дебито</w:t>
      </w:r>
      <w:r w:rsidRPr="00580723">
        <w:rPr>
          <w:rFonts w:ascii="Times New Roman" w:hAnsi="Times New Roman" w:cs="Times New Roman"/>
          <w:sz w:val="24"/>
          <w:szCs w:val="24"/>
        </w:rPr>
        <w:t>р</w:t>
      </w:r>
      <w:r w:rsidRPr="00580723">
        <w:rPr>
          <w:rFonts w:ascii="Times New Roman" w:hAnsi="Times New Roman" w:cs="Times New Roman"/>
          <w:sz w:val="24"/>
          <w:szCs w:val="24"/>
        </w:rPr>
        <w:t xml:space="preserve">ские и кредиторские задолженности между участниками КГН в связи с уплатой налога на прибыль отражаются каждым участником у себя на счёте 78 «Расчеты с участниками консолидированной группы налогоплательщиков».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Этот показатель раскрывается в бухгалтерском балансе каждого из участников с учетом существенности по группам статей «Дебиторская задолженность» раздела II «Оборотные активы» или «Кредиторская задолженность» раздела V «Краткосрочные обязательства», а также в пояснениях к бухгалтерскому балансу (таблица 5 приложения 3 к приказу Минфина России от 22.07.2010 № 66н «О формах бухгалтерской отчетности организаций»).</w:t>
      </w:r>
      <w:proofErr w:type="gramEnd"/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 xml:space="preserve">Такие расчёты так же, как и распределение КОНА, определяются договором между участниками КГН. Оба показателя в отчетности отдельного участника КГН –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дебиторка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кредиторка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 xml:space="preserve"> в расчётах по налогу на прибыль и приходящаяся на него часть КОНА – несут в себе значительную степень у</w:t>
      </w:r>
      <w:r w:rsidRPr="00580723">
        <w:rPr>
          <w:rFonts w:ascii="Times New Roman" w:hAnsi="Times New Roman" w:cs="Times New Roman"/>
          <w:sz w:val="24"/>
          <w:szCs w:val="24"/>
        </w:rPr>
        <w:t>с</w:t>
      </w:r>
      <w:r w:rsidRPr="00580723">
        <w:rPr>
          <w:rFonts w:ascii="Times New Roman" w:hAnsi="Times New Roman" w:cs="Times New Roman"/>
          <w:sz w:val="24"/>
          <w:szCs w:val="24"/>
        </w:rPr>
        <w:t>ловности. В этой связи распределение КОНА между участниками КГН не принципиально для пол</w:t>
      </w:r>
      <w:r w:rsidRPr="00580723">
        <w:rPr>
          <w:rFonts w:ascii="Times New Roman" w:hAnsi="Times New Roman" w:cs="Times New Roman"/>
          <w:sz w:val="24"/>
          <w:szCs w:val="24"/>
        </w:rPr>
        <w:t>ь</w:t>
      </w:r>
      <w:r w:rsidRPr="00580723">
        <w:rPr>
          <w:rFonts w:ascii="Times New Roman" w:hAnsi="Times New Roman" w:cs="Times New Roman"/>
          <w:sz w:val="24"/>
          <w:szCs w:val="24"/>
        </w:rPr>
        <w:t>зователя финансовой отчётности. Финансовая отчётность не потеряет своей полезности с точки зр</w:t>
      </w:r>
      <w:r w:rsidRPr="00580723">
        <w:rPr>
          <w:rFonts w:ascii="Times New Roman" w:hAnsi="Times New Roman" w:cs="Times New Roman"/>
          <w:sz w:val="24"/>
          <w:szCs w:val="24"/>
        </w:rPr>
        <w:t>е</w:t>
      </w:r>
      <w:r w:rsidRPr="00580723">
        <w:rPr>
          <w:rFonts w:ascii="Times New Roman" w:hAnsi="Times New Roman" w:cs="Times New Roman"/>
          <w:sz w:val="24"/>
          <w:szCs w:val="24"/>
        </w:rPr>
        <w:lastRenderedPageBreak/>
        <w:t>ния принятия экономических решений её пользователями, если КОНА не будет распределяться ме</w:t>
      </w:r>
      <w:r w:rsidRPr="00580723">
        <w:rPr>
          <w:rFonts w:ascii="Times New Roman" w:hAnsi="Times New Roman" w:cs="Times New Roman"/>
          <w:sz w:val="24"/>
          <w:szCs w:val="24"/>
        </w:rPr>
        <w:t>ж</w:t>
      </w:r>
      <w:r w:rsidRPr="00580723">
        <w:rPr>
          <w:rFonts w:ascii="Times New Roman" w:hAnsi="Times New Roman" w:cs="Times New Roman"/>
          <w:sz w:val="24"/>
          <w:szCs w:val="24"/>
        </w:rPr>
        <w:t>ду отдельными участниками КГН.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В этом случае КОНА рассматривается как элемент расчётных взаимоотношений по налогу на пр</w:t>
      </w:r>
      <w:r w:rsidRPr="00580723">
        <w:rPr>
          <w:rFonts w:ascii="Times New Roman" w:hAnsi="Times New Roman" w:cs="Times New Roman"/>
          <w:sz w:val="24"/>
          <w:szCs w:val="24"/>
        </w:rPr>
        <w:t>и</w:t>
      </w:r>
      <w:r w:rsidRPr="00580723">
        <w:rPr>
          <w:rFonts w:ascii="Times New Roman" w:hAnsi="Times New Roman" w:cs="Times New Roman"/>
          <w:sz w:val="24"/>
          <w:szCs w:val="24"/>
        </w:rPr>
        <w:t>быль между бюджетом и КГН в целом. Коль скоро текущая кредиторская задолженность КГН перед бюджетом (в отдельных случаях – дебиторская) по уплате налога на прибыль отражается в учёте о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ветственного участника, её величина и изменения за период показываются в его бухгалтерской о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чётности, то и КОНА аналогично должен учитываться ответственным участником и показываться в его финансовой отчётности. При этом КОНА должен быть обособлен от собственных отложенных налоговых активов и обязательств ответственного участника. Изменения в величине КОНА за пер</w:t>
      </w:r>
      <w:r w:rsidRPr="00580723">
        <w:rPr>
          <w:rFonts w:ascii="Times New Roman" w:hAnsi="Times New Roman" w:cs="Times New Roman"/>
          <w:sz w:val="24"/>
          <w:szCs w:val="24"/>
        </w:rPr>
        <w:t>и</w:t>
      </w:r>
      <w:r w:rsidRPr="00580723">
        <w:rPr>
          <w:rFonts w:ascii="Times New Roman" w:hAnsi="Times New Roman" w:cs="Times New Roman"/>
          <w:sz w:val="24"/>
          <w:szCs w:val="24"/>
        </w:rPr>
        <w:t>од не должны влиять на  показатели финансовых результатов ответственного участника.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Представляется нецелесообразным ограничивать организации в выборе способа учёта КОНА – с его распределением или без распределения между участниками КГН. Выбор такого способа может быть оставлен на усмотрение КГН. Вместе с тем, во избежание введения пользователей бухгалтерской о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чётности в заблуждения участники КГН должны по взаимной договорённости применять единый способ учёта КОНА.</w:t>
      </w:r>
    </w:p>
    <w:p w:rsidR="00580723" w:rsidRPr="00580723" w:rsidRDefault="00580723" w:rsidP="00580723">
      <w:pPr>
        <w:pStyle w:val="2"/>
        <w:rPr>
          <w:rFonts w:ascii="Times New Roman" w:hAnsi="Times New Roman" w:cs="Times New Roman"/>
          <w:szCs w:val="24"/>
        </w:rPr>
      </w:pPr>
      <w:r w:rsidRPr="00580723">
        <w:rPr>
          <w:rFonts w:ascii="Times New Roman" w:hAnsi="Times New Roman" w:cs="Times New Roman"/>
          <w:szCs w:val="24"/>
        </w:rPr>
        <w:t xml:space="preserve">ПРИЛОЖЕНИЕ 1. </w:t>
      </w:r>
      <w:r w:rsidRPr="00AE1E4A">
        <w:rPr>
          <w:rFonts w:ascii="Times New Roman" w:hAnsi="Times New Roman" w:cs="Times New Roman"/>
          <w:szCs w:val="24"/>
        </w:rPr>
        <w:t>ИЛЛЮСТРАТИВНЫЕ ПРИМЕРЫ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Примеры приводятся исключительно для целей иллюстрации возможной реализации в бухгалте</w:t>
      </w:r>
      <w:r w:rsidRPr="00580723">
        <w:rPr>
          <w:rFonts w:ascii="Times New Roman" w:hAnsi="Times New Roman" w:cs="Times New Roman"/>
          <w:sz w:val="24"/>
          <w:szCs w:val="24"/>
        </w:rPr>
        <w:t>р</w:t>
      </w:r>
      <w:r w:rsidRPr="00580723">
        <w:rPr>
          <w:rFonts w:ascii="Times New Roman" w:hAnsi="Times New Roman" w:cs="Times New Roman"/>
          <w:sz w:val="24"/>
          <w:szCs w:val="24"/>
        </w:rPr>
        <w:t xml:space="preserve">ских записях решения настоящей Рекомендации в части признания КОНА в учёте участников КГН. Примеры приводятся для упрощённой хозяйственной ситуации с использованием допущения, что в учёте участников КГН не образуется временных и постоянных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>. Примеры не исчерпывают все многообразие хозяйственных ситуаций, в которых может применяться настоящая Рекомендация. Приведенный порядок бухгалтерских записей не является единственным вариантом учёта, соотве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ствующим решению настоящей Рекомендации. Иные варианты записей также могут соответствовать этому решению.</w:t>
      </w:r>
    </w:p>
    <w:p w:rsidR="00580723" w:rsidRDefault="00580723" w:rsidP="00580723">
      <w:pPr>
        <w:pStyle w:val="3"/>
        <w:numPr>
          <w:ilvl w:val="0"/>
          <w:numId w:val="13"/>
        </w:numPr>
        <w:spacing w:before="120"/>
        <w:ind w:left="1134" w:hanging="1134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80723" w:rsidRPr="00580723" w:rsidRDefault="00580723" w:rsidP="00580723">
      <w:pPr>
        <w:pStyle w:val="3"/>
        <w:spacing w:before="12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Без распределения КОНА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Консолидированная группа налогоплательщиков состоит из трёх участников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>, Б, В. Участник В я</w:t>
      </w:r>
      <w:r w:rsidRPr="00580723">
        <w:rPr>
          <w:rFonts w:ascii="Times New Roman" w:hAnsi="Times New Roman" w:cs="Times New Roman"/>
          <w:sz w:val="24"/>
          <w:szCs w:val="24"/>
        </w:rPr>
        <w:t>в</w:t>
      </w:r>
      <w:r w:rsidRPr="00580723">
        <w:rPr>
          <w:rFonts w:ascii="Times New Roman" w:hAnsi="Times New Roman" w:cs="Times New Roman"/>
          <w:sz w:val="24"/>
          <w:szCs w:val="24"/>
        </w:rPr>
        <w:t>ляется ответственным участником КГН. В отчётном году финансовые результаты участников КГН были следующими: А - прибыль 90 руб.; Б – убыток 80 руб.; В - убыток 40 руб. В учёте всех учас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 xml:space="preserve">ников КГН не было зафиксировано ни временных, ни постоянных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>. В этой связи указанные финансовые результаты являются одновременно результатами для целей налогообложения прибыли и для целей бухгалтерского учёта.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Участники КГН решили не распределять КОНА. В таком случае бухгалтерские записи участников КГН в части отражения показателей по налогу на прибыль будут следующими: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723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proofErr w:type="gramStart"/>
      <w:r w:rsidRPr="00580723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580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99 – К 78</w:t>
      </w:r>
      <w:r w:rsidRPr="00580723">
        <w:rPr>
          <w:rFonts w:ascii="Times New Roman" w:hAnsi="Times New Roman" w:cs="Times New Roman"/>
          <w:sz w:val="24"/>
          <w:szCs w:val="24"/>
        </w:rPr>
        <w:tab/>
        <w:t>18 руб. = 90 руб.* 20%</w:t>
      </w:r>
      <w:r w:rsidRPr="00580723">
        <w:rPr>
          <w:rFonts w:ascii="Times New Roman" w:hAnsi="Times New Roman" w:cs="Times New Roman"/>
          <w:sz w:val="24"/>
          <w:szCs w:val="24"/>
        </w:rPr>
        <w:tab/>
        <w:t>начислен условный расход по налогу на прибыль, я</w:t>
      </w:r>
      <w:r w:rsidRPr="00580723">
        <w:rPr>
          <w:rFonts w:ascii="Times New Roman" w:hAnsi="Times New Roman" w:cs="Times New Roman"/>
          <w:sz w:val="24"/>
          <w:szCs w:val="24"/>
        </w:rPr>
        <w:t>в</w:t>
      </w:r>
      <w:r w:rsidRPr="00580723">
        <w:rPr>
          <w:rFonts w:ascii="Times New Roman" w:hAnsi="Times New Roman" w:cs="Times New Roman"/>
          <w:sz w:val="24"/>
          <w:szCs w:val="24"/>
        </w:rPr>
        <w:t>ляющийся одновременно текущим налогом на прибыль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723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proofErr w:type="gramStart"/>
      <w:r w:rsidRPr="00580723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580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78 – К 99</w:t>
      </w:r>
      <w:r w:rsidRPr="00580723">
        <w:rPr>
          <w:rFonts w:ascii="Times New Roman" w:hAnsi="Times New Roman" w:cs="Times New Roman"/>
          <w:sz w:val="24"/>
          <w:szCs w:val="24"/>
        </w:rPr>
        <w:tab/>
        <w:t>16 руб. = 80 руб.* 20%</w:t>
      </w:r>
      <w:r w:rsidRPr="00580723">
        <w:rPr>
          <w:rFonts w:ascii="Times New Roman" w:hAnsi="Times New Roman" w:cs="Times New Roman"/>
          <w:sz w:val="24"/>
          <w:szCs w:val="24"/>
        </w:rPr>
        <w:tab/>
        <w:t>начислен условный доход по налогу на прибыль, явля</w:t>
      </w:r>
      <w:r w:rsidRPr="00580723">
        <w:rPr>
          <w:rFonts w:ascii="Times New Roman" w:hAnsi="Times New Roman" w:cs="Times New Roman"/>
          <w:sz w:val="24"/>
          <w:szCs w:val="24"/>
        </w:rPr>
        <w:t>ю</w:t>
      </w:r>
      <w:r w:rsidRPr="00580723">
        <w:rPr>
          <w:rFonts w:ascii="Times New Roman" w:hAnsi="Times New Roman" w:cs="Times New Roman"/>
          <w:sz w:val="24"/>
          <w:szCs w:val="24"/>
        </w:rPr>
        <w:t>щийся одновременно текущим доходом по налогу на прибыль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723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Участник</w:t>
      </w:r>
      <w:proofErr w:type="gramStart"/>
      <w:r w:rsidRPr="00580723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580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78 – К 99</w:t>
      </w:r>
      <w:r w:rsidRPr="00580723">
        <w:rPr>
          <w:rFonts w:ascii="Times New Roman" w:hAnsi="Times New Roman" w:cs="Times New Roman"/>
          <w:sz w:val="24"/>
          <w:szCs w:val="24"/>
        </w:rPr>
        <w:tab/>
        <w:t>8 руб. = 40 руб.* 20%</w:t>
      </w:r>
      <w:r w:rsidRPr="00580723">
        <w:rPr>
          <w:rFonts w:ascii="Times New Roman" w:hAnsi="Times New Roman" w:cs="Times New Roman"/>
          <w:sz w:val="24"/>
          <w:szCs w:val="24"/>
        </w:rPr>
        <w:tab/>
        <w:t>начислен условный доход по налогу на прибыль, явля</w:t>
      </w:r>
      <w:r w:rsidRPr="00580723">
        <w:rPr>
          <w:rFonts w:ascii="Times New Roman" w:hAnsi="Times New Roman" w:cs="Times New Roman"/>
          <w:sz w:val="24"/>
          <w:szCs w:val="24"/>
        </w:rPr>
        <w:t>ю</w:t>
      </w:r>
      <w:r w:rsidRPr="00580723">
        <w:rPr>
          <w:rFonts w:ascii="Times New Roman" w:hAnsi="Times New Roman" w:cs="Times New Roman"/>
          <w:sz w:val="24"/>
          <w:szCs w:val="24"/>
        </w:rPr>
        <w:t>щийся одновременно текущим доходом по налогу на прибыль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09 – К 78</w:t>
      </w:r>
      <w:r w:rsidRPr="00580723">
        <w:rPr>
          <w:rFonts w:ascii="Times New Roman" w:hAnsi="Times New Roman" w:cs="Times New Roman"/>
          <w:sz w:val="24"/>
          <w:szCs w:val="24"/>
        </w:rPr>
        <w:tab/>
        <w:t>6 руб. = (90 – 80 – 40 руб.)* 20%</w:t>
      </w:r>
      <w:r w:rsidRPr="00580723">
        <w:rPr>
          <w:rFonts w:ascii="Times New Roman" w:hAnsi="Times New Roman" w:cs="Times New Roman"/>
          <w:sz w:val="24"/>
          <w:szCs w:val="24"/>
        </w:rPr>
        <w:tab/>
        <w:t>признан ответственным участником отложе</w:t>
      </w:r>
      <w:r w:rsidRPr="00580723">
        <w:rPr>
          <w:rFonts w:ascii="Times New Roman" w:hAnsi="Times New Roman" w:cs="Times New Roman"/>
          <w:sz w:val="24"/>
          <w:szCs w:val="24"/>
        </w:rPr>
        <w:t>н</w:t>
      </w:r>
      <w:r w:rsidRPr="00580723">
        <w:rPr>
          <w:rFonts w:ascii="Times New Roman" w:hAnsi="Times New Roman" w:cs="Times New Roman"/>
          <w:sz w:val="24"/>
          <w:szCs w:val="24"/>
        </w:rPr>
        <w:t>ный налоговый актив по суммарному убытку КГН</w:t>
      </w:r>
    </w:p>
    <w:p w:rsidR="00580723" w:rsidRDefault="00580723" w:rsidP="00580723">
      <w:pPr>
        <w:pStyle w:val="3"/>
        <w:numPr>
          <w:ilvl w:val="0"/>
          <w:numId w:val="13"/>
        </w:numPr>
        <w:spacing w:before="120"/>
        <w:ind w:left="1134" w:hanging="1134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80723" w:rsidRPr="00580723" w:rsidRDefault="00580723" w:rsidP="00580723">
      <w:pPr>
        <w:pStyle w:val="3"/>
        <w:spacing w:before="12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5807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 распределением КОНА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Условия те же, что в примере 1: Консолидированная группа налогоплательщиков состоит из трёх участников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>, Б, В. Участник В является ответственным участником КГН. В отчётном году фина</w:t>
      </w:r>
      <w:r w:rsidRPr="00580723">
        <w:rPr>
          <w:rFonts w:ascii="Times New Roman" w:hAnsi="Times New Roman" w:cs="Times New Roman"/>
          <w:sz w:val="24"/>
          <w:szCs w:val="24"/>
        </w:rPr>
        <w:t>н</w:t>
      </w:r>
      <w:r w:rsidRPr="00580723">
        <w:rPr>
          <w:rFonts w:ascii="Times New Roman" w:hAnsi="Times New Roman" w:cs="Times New Roman"/>
          <w:sz w:val="24"/>
          <w:szCs w:val="24"/>
        </w:rPr>
        <w:t xml:space="preserve">совые результаты участников КГН были следующими: А - прибыль 90 руб.; Б – убыток 80 руб.; В - убыток 40 руб. В учёте всех участников КГН не было зафиксировано ни временных, ни постоянных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>. В этой связи указанные финансовые результаты являются одновременно результатами для целей налогообложения прибыли и для целей бухгалтерского учёта.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Участники КГН решают распределять КОНА между участниками КГН, получившими в отчётном периоде налоговый убыток. КОНА распределяется между «убыточными» участниками КГН пропо</w:t>
      </w:r>
      <w:r w:rsidRPr="00580723">
        <w:rPr>
          <w:rFonts w:ascii="Times New Roman" w:hAnsi="Times New Roman" w:cs="Times New Roman"/>
          <w:sz w:val="24"/>
          <w:szCs w:val="24"/>
        </w:rPr>
        <w:t>р</w:t>
      </w:r>
      <w:r w:rsidRPr="00580723">
        <w:rPr>
          <w:rFonts w:ascii="Times New Roman" w:hAnsi="Times New Roman" w:cs="Times New Roman"/>
          <w:sz w:val="24"/>
          <w:szCs w:val="24"/>
        </w:rPr>
        <w:t>ционально величинам полученного каждым из них убытка. В таком случае бухгалтерские записи участников КГН в части отражения показателей по налогу на прибыль будут следующими: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723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proofErr w:type="gramStart"/>
      <w:r w:rsidRPr="00580723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580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99 – К 78</w:t>
      </w:r>
      <w:r w:rsidRPr="00580723">
        <w:rPr>
          <w:rFonts w:ascii="Times New Roman" w:hAnsi="Times New Roman" w:cs="Times New Roman"/>
          <w:sz w:val="24"/>
          <w:szCs w:val="24"/>
        </w:rPr>
        <w:tab/>
        <w:t>18 руб. = 90 руб.* 20%</w:t>
      </w:r>
      <w:r w:rsidRPr="00580723">
        <w:rPr>
          <w:rFonts w:ascii="Times New Roman" w:hAnsi="Times New Roman" w:cs="Times New Roman"/>
          <w:sz w:val="24"/>
          <w:szCs w:val="24"/>
        </w:rPr>
        <w:tab/>
        <w:t>начислен условный расход по налогу на прибыль, я</w:t>
      </w:r>
      <w:r w:rsidRPr="00580723">
        <w:rPr>
          <w:rFonts w:ascii="Times New Roman" w:hAnsi="Times New Roman" w:cs="Times New Roman"/>
          <w:sz w:val="24"/>
          <w:szCs w:val="24"/>
        </w:rPr>
        <w:t>в</w:t>
      </w:r>
      <w:r w:rsidRPr="00580723">
        <w:rPr>
          <w:rFonts w:ascii="Times New Roman" w:hAnsi="Times New Roman" w:cs="Times New Roman"/>
          <w:sz w:val="24"/>
          <w:szCs w:val="24"/>
        </w:rPr>
        <w:t>ляющийся одновременно текущим налогом на прибыль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723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proofErr w:type="gramStart"/>
      <w:r w:rsidRPr="00580723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580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78 – К 99</w:t>
      </w:r>
      <w:r w:rsidRPr="00580723">
        <w:rPr>
          <w:rFonts w:ascii="Times New Roman" w:hAnsi="Times New Roman" w:cs="Times New Roman"/>
          <w:sz w:val="24"/>
          <w:szCs w:val="24"/>
        </w:rPr>
        <w:tab/>
        <w:t>16 руб. = 80 руб.* 20%</w:t>
      </w:r>
      <w:r w:rsidRPr="00580723">
        <w:rPr>
          <w:rFonts w:ascii="Times New Roman" w:hAnsi="Times New Roman" w:cs="Times New Roman"/>
          <w:sz w:val="24"/>
          <w:szCs w:val="24"/>
        </w:rPr>
        <w:tab/>
        <w:t>начислен условный доход по налогу на прибыль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09 – К 78</w:t>
      </w:r>
      <w:r w:rsidRPr="00580723">
        <w:rPr>
          <w:rFonts w:ascii="Times New Roman" w:hAnsi="Times New Roman" w:cs="Times New Roman"/>
          <w:sz w:val="24"/>
          <w:szCs w:val="24"/>
        </w:rPr>
        <w:tab/>
        <w:t>4 руб. = (90 – 80 – 40 руб.)* 20% * 80/(80+40)</w:t>
      </w:r>
      <w:r w:rsidRPr="00580723">
        <w:rPr>
          <w:rFonts w:ascii="Times New Roman" w:hAnsi="Times New Roman" w:cs="Times New Roman"/>
          <w:sz w:val="24"/>
          <w:szCs w:val="24"/>
        </w:rPr>
        <w:tab/>
        <w:t>признана доля отложенного н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логового актива по суммарному убытку КГН, приходящаяся на участника Б.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Текущий доход по налогу на прибыль Участника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 xml:space="preserve"> при этом составит разницу между суммами двух указанных проводок: 12 руб. = 16 – 4.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723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proofErr w:type="gramStart"/>
      <w:r w:rsidRPr="00580723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580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78 – К 99</w:t>
      </w:r>
      <w:r w:rsidRPr="00580723">
        <w:rPr>
          <w:rFonts w:ascii="Times New Roman" w:hAnsi="Times New Roman" w:cs="Times New Roman"/>
          <w:sz w:val="24"/>
          <w:szCs w:val="24"/>
        </w:rPr>
        <w:tab/>
        <w:t>8 руб. = 40 руб.* 20%</w:t>
      </w:r>
      <w:r w:rsidRPr="00580723">
        <w:rPr>
          <w:rFonts w:ascii="Times New Roman" w:hAnsi="Times New Roman" w:cs="Times New Roman"/>
          <w:sz w:val="24"/>
          <w:szCs w:val="24"/>
        </w:rPr>
        <w:tab/>
        <w:t>начислен условный доход по налогу на прибыль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Дт 09 – К 78</w:t>
      </w:r>
      <w:r w:rsidRPr="00580723">
        <w:rPr>
          <w:rFonts w:ascii="Times New Roman" w:hAnsi="Times New Roman" w:cs="Times New Roman"/>
          <w:sz w:val="24"/>
          <w:szCs w:val="24"/>
        </w:rPr>
        <w:tab/>
        <w:t>2 руб. = (90 – 80 – 40 руб.)* 20% * 40/(80+40)</w:t>
      </w:r>
      <w:r w:rsidRPr="00580723">
        <w:rPr>
          <w:rFonts w:ascii="Times New Roman" w:hAnsi="Times New Roman" w:cs="Times New Roman"/>
          <w:sz w:val="24"/>
          <w:szCs w:val="24"/>
        </w:rPr>
        <w:tab/>
        <w:t>признана доля отложенного н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логового актива по суммарному убытку КГН, приходящаяся на участника В.</w:t>
      </w:r>
    </w:p>
    <w:p w:rsidR="00580723" w:rsidRPr="00580723" w:rsidRDefault="00580723" w:rsidP="00580723">
      <w:pPr>
        <w:tabs>
          <w:tab w:val="left" w:pos="198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Текущий доход по налогу на прибыль Участника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 xml:space="preserve"> при этом составит разницу между суммами двух указанных проводок: 6 руб. = 8 – 2.</w:t>
      </w:r>
    </w:p>
    <w:p w:rsidR="00580723" w:rsidRPr="00580723" w:rsidRDefault="00580723" w:rsidP="00580723">
      <w:pPr>
        <w:pStyle w:val="2"/>
        <w:rPr>
          <w:rFonts w:ascii="Times New Roman" w:hAnsi="Times New Roman" w:cs="Times New Roman"/>
          <w:szCs w:val="24"/>
        </w:rPr>
      </w:pPr>
      <w:r w:rsidRPr="00580723">
        <w:rPr>
          <w:rFonts w:ascii="Times New Roman" w:hAnsi="Times New Roman" w:cs="Times New Roman"/>
          <w:szCs w:val="24"/>
        </w:rPr>
        <w:t xml:space="preserve">ПРИЛОЖЕНИЕ 2. </w:t>
      </w:r>
      <w:r w:rsidRPr="00AE1E4A">
        <w:rPr>
          <w:rFonts w:ascii="Times New Roman" w:hAnsi="Times New Roman" w:cs="Times New Roman"/>
          <w:spacing w:val="0"/>
          <w:szCs w:val="24"/>
        </w:rPr>
        <w:t>Порядок учёта показателей налогообложения прибыли участник</w:t>
      </w:r>
      <w:r w:rsidRPr="00AE1E4A">
        <w:rPr>
          <w:rFonts w:ascii="Times New Roman" w:hAnsi="Times New Roman" w:cs="Times New Roman"/>
          <w:spacing w:val="0"/>
          <w:szCs w:val="24"/>
        </w:rPr>
        <w:t>а</w:t>
      </w:r>
      <w:r w:rsidRPr="00AE1E4A">
        <w:rPr>
          <w:rFonts w:ascii="Times New Roman" w:hAnsi="Times New Roman" w:cs="Times New Roman"/>
          <w:spacing w:val="0"/>
          <w:szCs w:val="24"/>
        </w:rPr>
        <w:t>ми консолидированной группы налогоплательщиков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 xml:space="preserve">1. Каждый участник КГН формирует в бухгалтерском учете и раскрывает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в бухгалтерской отчетн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сти информацию о налоге на прибыль в соответствии с правилами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>, установленными Положением по бухгалтерскому учету «Учет расчетов по налогу на прибыль организаций» ПБУ 18/02, утвержде</w:t>
      </w:r>
      <w:r w:rsidRPr="00580723">
        <w:rPr>
          <w:rFonts w:ascii="Times New Roman" w:hAnsi="Times New Roman" w:cs="Times New Roman"/>
          <w:sz w:val="24"/>
          <w:szCs w:val="24"/>
        </w:rPr>
        <w:t>н</w:t>
      </w:r>
      <w:r w:rsidRPr="00580723">
        <w:rPr>
          <w:rFonts w:ascii="Times New Roman" w:hAnsi="Times New Roman" w:cs="Times New Roman"/>
          <w:sz w:val="24"/>
          <w:szCs w:val="24"/>
        </w:rPr>
        <w:lastRenderedPageBreak/>
        <w:t>ным приказом Минфина России от 19.11.2002 № 114н. При этом временные и постоянные разницы определяются участником КГН исходя из его доходов и расходов, включаемых в консолидирова</w:t>
      </w:r>
      <w:r w:rsidRPr="00580723">
        <w:rPr>
          <w:rFonts w:ascii="Times New Roman" w:hAnsi="Times New Roman" w:cs="Times New Roman"/>
          <w:sz w:val="24"/>
          <w:szCs w:val="24"/>
        </w:rPr>
        <w:t>н</w:t>
      </w:r>
      <w:r w:rsidRPr="00580723">
        <w:rPr>
          <w:rFonts w:ascii="Times New Roman" w:hAnsi="Times New Roman" w:cs="Times New Roman"/>
          <w:sz w:val="24"/>
          <w:szCs w:val="24"/>
        </w:rPr>
        <w:t>ную налоговую базу КГН в соответствии с нормами Налогового кодекса Российской Федерации (д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лее – НК РФ) для КГН. Формирование консолидированной налоговой базы КГН осуществляется вне системы бухгалтерского учета.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2. Текущий налог на прибыль формируется участниками (включая ответственного участника) КГН на счете 78 «Расчеты с участниками консолидированной группы налогоплательщиков».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3. Сумма налога на прибыль по КГН в целом, подлежащая уплате ответственным участником КГН в бюджет, отражается в бухгалтерском учете ответственного участника КГН по дебету счета 78 «Ра</w:t>
      </w:r>
      <w:r w:rsidRPr="00580723">
        <w:rPr>
          <w:rFonts w:ascii="Times New Roman" w:hAnsi="Times New Roman" w:cs="Times New Roman"/>
          <w:sz w:val="24"/>
          <w:szCs w:val="24"/>
        </w:rPr>
        <w:t>с</w:t>
      </w:r>
      <w:r w:rsidRPr="00580723">
        <w:rPr>
          <w:rFonts w:ascii="Times New Roman" w:hAnsi="Times New Roman" w:cs="Times New Roman"/>
          <w:sz w:val="24"/>
          <w:szCs w:val="24"/>
        </w:rPr>
        <w:t xml:space="preserve">четы </w:t>
      </w:r>
      <w:proofErr w:type="spellStart"/>
      <w:r w:rsidRPr="005807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0723">
        <w:rPr>
          <w:rFonts w:ascii="Times New Roman" w:hAnsi="Times New Roman" w:cs="Times New Roman"/>
          <w:sz w:val="24"/>
          <w:szCs w:val="24"/>
        </w:rPr>
        <w:t xml:space="preserve"> участниками консолидированной группы налогоплательщиков» и кредиту счета 68 «Расчеты по налогам и сборам». </w:t>
      </w:r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Разница между суммой текущего налога на прибыль, исчисленного участником (включая ответс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венного участника) КГН для включения в консолидированную налоговую базу КГН, и суммой д</w:t>
      </w:r>
      <w:r w:rsidRPr="00580723">
        <w:rPr>
          <w:rFonts w:ascii="Times New Roman" w:hAnsi="Times New Roman" w:cs="Times New Roman"/>
          <w:sz w:val="24"/>
          <w:szCs w:val="24"/>
        </w:rPr>
        <w:t>е</w:t>
      </w:r>
      <w:r w:rsidRPr="00580723">
        <w:rPr>
          <w:rFonts w:ascii="Times New Roman" w:hAnsi="Times New Roman" w:cs="Times New Roman"/>
          <w:sz w:val="24"/>
          <w:szCs w:val="24"/>
        </w:rPr>
        <w:t>нежных средств, причитающейся с участника (участнику) КГН исходя из условий договора о созд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нии КГН, отражается в бухгалтерском учете соответствующего участника КГН на счете 99 «Приб</w:t>
      </w:r>
      <w:r w:rsidRPr="00580723">
        <w:rPr>
          <w:rFonts w:ascii="Times New Roman" w:hAnsi="Times New Roman" w:cs="Times New Roman"/>
          <w:sz w:val="24"/>
          <w:szCs w:val="24"/>
        </w:rPr>
        <w:t>ы</w:t>
      </w:r>
      <w:r w:rsidRPr="00580723">
        <w:rPr>
          <w:rFonts w:ascii="Times New Roman" w:hAnsi="Times New Roman" w:cs="Times New Roman"/>
          <w:sz w:val="24"/>
          <w:szCs w:val="24"/>
        </w:rPr>
        <w:t>ли и убытки» в корреспонденции со счетом 78 «Расчеты с участниками консолидированной группы налогоплательщиков</w:t>
      </w:r>
      <w:proofErr w:type="gramEnd"/>
      <w:r w:rsidRPr="0058072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Указанная разница раскрывается в отчете о прибылях и убытках обособленно по вписываемой строке «Перераспределение налога на прибыль внутри консолидированной группы налогоплательщиков» (код строки 2465 в бухгалтерской отчетности, представляемой в органы гос</w:t>
      </w:r>
      <w:r w:rsidRPr="00580723">
        <w:rPr>
          <w:rFonts w:ascii="Times New Roman" w:hAnsi="Times New Roman" w:cs="Times New Roman"/>
          <w:sz w:val="24"/>
          <w:szCs w:val="24"/>
        </w:rPr>
        <w:t>у</w:t>
      </w:r>
      <w:r w:rsidRPr="00580723">
        <w:rPr>
          <w:rFonts w:ascii="Times New Roman" w:hAnsi="Times New Roman" w:cs="Times New Roman"/>
          <w:sz w:val="24"/>
          <w:szCs w:val="24"/>
        </w:rPr>
        <w:t>дарственной статистики и другие органы исполнительной власти) и учитывается при определении чистой прибыли (убытка) организации (не участвуя в формировании прибыли (убытка) организации до налогообложения).</w:t>
      </w:r>
      <w:proofErr w:type="gramEnd"/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0723">
        <w:rPr>
          <w:rFonts w:ascii="Times New Roman" w:hAnsi="Times New Roman" w:cs="Times New Roman"/>
          <w:sz w:val="24"/>
          <w:szCs w:val="24"/>
        </w:rPr>
        <w:t>Информация об остатках по счету 78 «Расчеты с участниками консолидированной группы налог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плательщиков» раскрывается в бухгалтерском балансе с учетом ее существенности по группам ст</w:t>
      </w:r>
      <w:r w:rsidRPr="00580723">
        <w:rPr>
          <w:rFonts w:ascii="Times New Roman" w:hAnsi="Times New Roman" w:cs="Times New Roman"/>
          <w:sz w:val="24"/>
          <w:szCs w:val="24"/>
        </w:rPr>
        <w:t>а</w:t>
      </w:r>
      <w:r w:rsidRPr="00580723">
        <w:rPr>
          <w:rFonts w:ascii="Times New Roman" w:hAnsi="Times New Roman" w:cs="Times New Roman"/>
          <w:sz w:val="24"/>
          <w:szCs w:val="24"/>
        </w:rPr>
        <w:t>тей «Дебиторская задолженность» раздела II «Оборотные активы» или «Кредиторская задолже</w:t>
      </w:r>
      <w:r w:rsidRPr="00580723">
        <w:rPr>
          <w:rFonts w:ascii="Times New Roman" w:hAnsi="Times New Roman" w:cs="Times New Roman"/>
          <w:sz w:val="24"/>
          <w:szCs w:val="24"/>
        </w:rPr>
        <w:t>н</w:t>
      </w:r>
      <w:r w:rsidRPr="00580723">
        <w:rPr>
          <w:rFonts w:ascii="Times New Roman" w:hAnsi="Times New Roman" w:cs="Times New Roman"/>
          <w:sz w:val="24"/>
          <w:szCs w:val="24"/>
        </w:rPr>
        <w:t>ность» раздела V «Краткосрочные обязательства», а также в пояснениях к бухгалтерскому балансу (таблица 5 приложения 3 к приказу Минфина России от 22.07.2010 № 66н «О формах бухгалтерской отчетности организаций»).</w:t>
      </w:r>
      <w:proofErr w:type="gramEnd"/>
    </w:p>
    <w:p w:rsidR="00580723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6. По полученному участником КГН в отчетном периоде налоговому убытку отложенный налоговый актив в его бухгалтерском учете не формируется. Поскольку в этом случае величина текущего налога на прибыль участника КГН становится положительной, то при отражении ее в отчете о прибылях и убытках участника КГН круглые скобки по строке «Текущий налог на прибыль» не проставляются.</w:t>
      </w:r>
    </w:p>
    <w:p w:rsidR="007E29C1" w:rsidRPr="00580723" w:rsidRDefault="00580723" w:rsidP="0058072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23">
        <w:rPr>
          <w:rFonts w:ascii="Times New Roman" w:hAnsi="Times New Roman" w:cs="Times New Roman"/>
          <w:sz w:val="24"/>
          <w:szCs w:val="24"/>
        </w:rPr>
        <w:t>7. Отложенный налоговый актив в отношении убытков организации, которые исчислены ею в соо</w:t>
      </w:r>
      <w:r w:rsidRPr="00580723">
        <w:rPr>
          <w:rFonts w:ascii="Times New Roman" w:hAnsi="Times New Roman" w:cs="Times New Roman"/>
          <w:sz w:val="24"/>
          <w:szCs w:val="24"/>
        </w:rPr>
        <w:t>т</w:t>
      </w:r>
      <w:r w:rsidRPr="00580723">
        <w:rPr>
          <w:rFonts w:ascii="Times New Roman" w:hAnsi="Times New Roman" w:cs="Times New Roman"/>
          <w:sz w:val="24"/>
          <w:szCs w:val="24"/>
        </w:rPr>
        <w:t>ветствии с НК РФ до вхождения в КГН и которые не могут уменьшить консолидированную налог</w:t>
      </w:r>
      <w:r w:rsidRPr="00580723">
        <w:rPr>
          <w:rFonts w:ascii="Times New Roman" w:hAnsi="Times New Roman" w:cs="Times New Roman"/>
          <w:sz w:val="24"/>
          <w:szCs w:val="24"/>
        </w:rPr>
        <w:t>о</w:t>
      </w:r>
      <w:r w:rsidRPr="00580723">
        <w:rPr>
          <w:rFonts w:ascii="Times New Roman" w:hAnsi="Times New Roman" w:cs="Times New Roman"/>
          <w:sz w:val="24"/>
          <w:szCs w:val="24"/>
        </w:rPr>
        <w:t>вую базу КГН, списывается на счет 99 «Прибыли и убытки» в отчетном периоде, предшествующем периоду вхождения организа</w:t>
      </w:r>
      <w:r>
        <w:rPr>
          <w:rFonts w:ascii="Times New Roman" w:hAnsi="Times New Roman" w:cs="Times New Roman"/>
          <w:sz w:val="24"/>
          <w:szCs w:val="24"/>
        </w:rPr>
        <w:t>ции в КГН.</w:t>
      </w:r>
    </w:p>
    <w:sectPr w:rsidR="007E29C1" w:rsidRPr="00580723" w:rsidSect="00FB271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BD" w:rsidRDefault="002331BD" w:rsidP="003F7FE8">
      <w:pPr>
        <w:spacing w:after="0" w:line="240" w:lineRule="auto"/>
      </w:pPr>
      <w:r>
        <w:separator/>
      </w:r>
    </w:p>
  </w:endnote>
  <w:endnote w:type="continuationSeparator" w:id="0">
    <w:p w:rsidR="002331BD" w:rsidRDefault="002331BD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AA28C9">
          <w:fldChar w:fldCharType="begin"/>
        </w:r>
        <w:r w:rsidR="00324504">
          <w:instrText>PAGE   \* MERGEFORMAT</w:instrText>
        </w:r>
        <w:r w:rsidR="00AA28C9">
          <w:fldChar w:fldCharType="separate"/>
        </w:r>
        <w:r w:rsidR="00413253">
          <w:rPr>
            <w:noProof/>
          </w:rPr>
          <w:t>7</w:t>
        </w:r>
        <w:r w:rsidR="00AA28C9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AA28C9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413253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BD" w:rsidRDefault="002331BD" w:rsidP="003F7FE8">
      <w:pPr>
        <w:spacing w:after="0" w:line="240" w:lineRule="auto"/>
      </w:pPr>
      <w:r>
        <w:separator/>
      </w:r>
    </w:p>
  </w:footnote>
  <w:footnote w:type="continuationSeparator" w:id="0">
    <w:p w:rsidR="002331BD" w:rsidRDefault="002331BD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F6"/>
    <w:multiLevelType w:val="hybridMultilevel"/>
    <w:tmpl w:val="3E0E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048E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A595F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D6A0C"/>
    <w:multiLevelType w:val="multilevel"/>
    <w:tmpl w:val="305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55A9"/>
    <w:multiLevelType w:val="hybridMultilevel"/>
    <w:tmpl w:val="E9EC81BE"/>
    <w:lvl w:ilvl="0" w:tplc="663A1E54">
      <w:start w:val="1"/>
      <w:numFmt w:val="decimal"/>
      <w:lvlText w:val="Пример %1."/>
      <w:lvlJc w:val="left"/>
      <w:pPr>
        <w:ind w:left="1287" w:hanging="360"/>
      </w:pPr>
      <w:rPr>
        <w:rFonts w:hint="default"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311D5A"/>
    <w:multiLevelType w:val="hybridMultilevel"/>
    <w:tmpl w:val="8D0A3586"/>
    <w:lvl w:ilvl="0" w:tplc="CE2053C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577A"/>
    <w:multiLevelType w:val="hybridMultilevel"/>
    <w:tmpl w:val="7C4E4722"/>
    <w:lvl w:ilvl="0" w:tplc="4F664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C6D64"/>
    <w:multiLevelType w:val="hybridMultilevel"/>
    <w:tmpl w:val="EC587108"/>
    <w:lvl w:ilvl="0" w:tplc="AC22295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73BB"/>
    <w:multiLevelType w:val="hybridMultilevel"/>
    <w:tmpl w:val="98DE12A6"/>
    <w:lvl w:ilvl="0" w:tplc="AC22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5CFE"/>
    <w:multiLevelType w:val="hybridMultilevel"/>
    <w:tmpl w:val="AADA09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6224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36E5D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7CA4BEF"/>
    <w:multiLevelType w:val="hybridMultilevel"/>
    <w:tmpl w:val="992818E8"/>
    <w:lvl w:ilvl="0" w:tplc="AC222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73785"/>
    <w:multiLevelType w:val="hybridMultilevel"/>
    <w:tmpl w:val="99DAD764"/>
    <w:lvl w:ilvl="0" w:tplc="AC22295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9754F"/>
    <w:multiLevelType w:val="hybridMultilevel"/>
    <w:tmpl w:val="4ED82212"/>
    <w:lvl w:ilvl="0" w:tplc="CEAC518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6446384C" w:tentative="1">
      <w:start w:val="1"/>
      <w:numFmt w:val="lowerLetter"/>
      <w:lvlText w:val="%2."/>
      <w:lvlJc w:val="left"/>
      <w:pPr>
        <w:ind w:left="1440" w:hanging="360"/>
      </w:pPr>
    </w:lvl>
    <w:lvl w:ilvl="2" w:tplc="0610D2E8" w:tentative="1">
      <w:start w:val="1"/>
      <w:numFmt w:val="lowerRoman"/>
      <w:lvlText w:val="%3."/>
      <w:lvlJc w:val="right"/>
      <w:pPr>
        <w:ind w:left="2160" w:hanging="180"/>
      </w:pPr>
    </w:lvl>
    <w:lvl w:ilvl="3" w:tplc="8CB4444A" w:tentative="1">
      <w:start w:val="1"/>
      <w:numFmt w:val="decimal"/>
      <w:lvlText w:val="%4."/>
      <w:lvlJc w:val="left"/>
      <w:pPr>
        <w:ind w:left="2880" w:hanging="360"/>
      </w:pPr>
    </w:lvl>
    <w:lvl w:ilvl="4" w:tplc="1EA04CB4" w:tentative="1">
      <w:start w:val="1"/>
      <w:numFmt w:val="lowerLetter"/>
      <w:lvlText w:val="%5."/>
      <w:lvlJc w:val="left"/>
      <w:pPr>
        <w:ind w:left="3600" w:hanging="360"/>
      </w:pPr>
    </w:lvl>
    <w:lvl w:ilvl="5" w:tplc="E5463E18" w:tentative="1">
      <w:start w:val="1"/>
      <w:numFmt w:val="lowerRoman"/>
      <w:lvlText w:val="%6."/>
      <w:lvlJc w:val="right"/>
      <w:pPr>
        <w:ind w:left="4320" w:hanging="180"/>
      </w:pPr>
    </w:lvl>
    <w:lvl w:ilvl="6" w:tplc="9CD07B9E" w:tentative="1">
      <w:start w:val="1"/>
      <w:numFmt w:val="decimal"/>
      <w:lvlText w:val="%7."/>
      <w:lvlJc w:val="left"/>
      <w:pPr>
        <w:ind w:left="5040" w:hanging="360"/>
      </w:pPr>
    </w:lvl>
    <w:lvl w:ilvl="7" w:tplc="D32238A4" w:tentative="1">
      <w:start w:val="1"/>
      <w:numFmt w:val="lowerLetter"/>
      <w:lvlText w:val="%8."/>
      <w:lvlJc w:val="left"/>
      <w:pPr>
        <w:ind w:left="5760" w:hanging="360"/>
      </w:pPr>
    </w:lvl>
    <w:lvl w:ilvl="8" w:tplc="439AC0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7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9"/>
  </w:num>
  <w:num w:numId="1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17B92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31BD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253"/>
    <w:rsid w:val="00413D7D"/>
    <w:rsid w:val="00414FE1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28C9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7006"/>
    <w:rsid w:val="00C27719"/>
    <w:rsid w:val="00C2793C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3F7FE8"/>
    <w:rPr>
      <w:sz w:val="20"/>
      <w:szCs w:val="20"/>
    </w:rPr>
  </w:style>
  <w:style w:type="character" w:styleId="af5">
    <w:name w:val="footnote reference"/>
    <w:basedOn w:val="a4"/>
    <w:unhideWhenUsed/>
    <w:rsid w:val="003F7FE8"/>
    <w:rPr>
      <w:vertAlign w:val="superscript"/>
    </w:rPr>
  </w:style>
  <w:style w:type="table" w:styleId="af6">
    <w:name w:val="Table Grid"/>
    <w:basedOn w:val="a5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15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link w:val="af"/>
    <w:uiPriority w:val="99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E466-D833-4223-8050-E6EF3391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3260</Words>
  <Characters>18582</Characters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2017-11-03T09:34:00Z</cp:lastPrinted>
  <dcterms:created xsi:type="dcterms:W3CDTF">2018-12-03T14:09:00Z</dcterms:created>
  <dcterms:modified xsi:type="dcterms:W3CDTF">2018-12-03T14:14:00Z</dcterms:modified>
</cp:coreProperties>
</file>