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8B194E" w:rsidRPr="00723860" w:rsidRDefault="00F04B19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="00BA430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ОК</w:t>
      </w:r>
      <w:r w:rsidR="008F2ADD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НКО</w:t>
      </w:r>
      <w:r w:rsidR="00824A8A"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201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2C072D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</w:t>
      </w:r>
      <w:r w:rsidR="00824A8A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BA430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</w:t>
      </w:r>
      <w:r w:rsidR="008F2ADD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 w:rsidR="008B194E">
        <w:rPr>
          <w:i/>
          <w:color w:val="008080"/>
          <w:sz w:val="16"/>
          <w:szCs w:val="16"/>
        </w:rPr>
        <w:t xml:space="preserve">     </w:t>
      </w:r>
    </w:p>
    <w:p w:rsidR="00824A8A" w:rsidRPr="00BA4300" w:rsidRDefault="00B33E52" w:rsidP="00824A8A">
      <w:pPr>
        <w:pStyle w:val="aff2"/>
        <w:spacing w:line="100" w:lineRule="atLeast"/>
        <w:rPr>
          <w:rFonts w:eastAsiaTheme="majorEastAsia"/>
          <w:b/>
          <w:color w:val="006666"/>
          <w:spacing w:val="2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800000"/>
          <w:sz w:val="16"/>
          <w:szCs w:val="16"/>
          <w:bdr w:val="none" w:sz="0" w:space="0" w:color="auto" w:frame="1"/>
        </w:rPr>
        <w:br/>
      </w:r>
    </w:p>
    <w:p w:rsidR="008F2ADD" w:rsidRPr="008F2ADD" w:rsidRDefault="008F2ADD" w:rsidP="008F2A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РЕКОМЕНДАЦИЯ Р-77/2016 - ОК НКО</w:t>
      </w:r>
    </w:p>
    <w:p w:rsidR="008F2ADD" w:rsidRPr="008F2ADD" w:rsidRDefault="008F2ADD" w:rsidP="008F2AD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РЕЗЕРВ</w:t>
      </w:r>
      <w:r w:rsidR="000A7DF2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 </w:t>
      </w: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СОМНИТЕЛЬНЫ</w:t>
      </w:r>
      <w:r w:rsidR="000A7DF2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Х</w:t>
      </w: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 ДОЛГ</w:t>
      </w:r>
      <w:r w:rsidR="000A7DF2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ОВ</w:t>
      </w: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 ПО ВЗНОСАМ </w:t>
      </w:r>
    </w:p>
    <w:p w:rsidR="008F2ADD" w:rsidRPr="008F2ADD" w:rsidRDefault="008F2ADD" w:rsidP="008F2ADD">
      <w:pPr>
        <w:spacing w:after="0" w:line="240" w:lineRule="auto"/>
        <w:jc w:val="center"/>
        <w:rPr>
          <w:rFonts w:eastAsiaTheme="majorEastAsia"/>
          <w:bCs/>
          <w:color w:val="006666"/>
          <w:spacing w:val="20"/>
          <w:sz w:val="28"/>
          <w:szCs w:val="28"/>
        </w:rPr>
      </w:pPr>
      <w:r w:rsidRPr="008F2ADD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НА КАПИТАЛЬНЫЙ РЕМОНТ</w:t>
      </w:r>
    </w:p>
    <w:p w:rsidR="008F2ADD" w:rsidRPr="008F2ADD" w:rsidRDefault="008F2ADD" w:rsidP="008F2ADD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8F2ADD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ПРОБЛЕМЫ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Владельцы фондов</w:t>
      </w:r>
      <w:r w:rsidRPr="008F2ADD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8F2ADD">
        <w:rPr>
          <w:rFonts w:ascii="Times New Roman" w:hAnsi="Times New Roman" w:cs="Times New Roman"/>
          <w:sz w:val="24"/>
          <w:szCs w:val="24"/>
        </w:rPr>
        <w:t xml:space="preserve"> (далее – организации) капитального ремонта учитывают на своих балансах деб</w:t>
      </w:r>
      <w:r w:rsidRPr="008F2ADD">
        <w:rPr>
          <w:rFonts w:ascii="Times New Roman" w:hAnsi="Times New Roman" w:cs="Times New Roman"/>
          <w:sz w:val="24"/>
          <w:szCs w:val="24"/>
        </w:rPr>
        <w:t>и</w:t>
      </w:r>
      <w:r w:rsidRPr="008F2ADD">
        <w:rPr>
          <w:rFonts w:ascii="Times New Roman" w:hAnsi="Times New Roman" w:cs="Times New Roman"/>
          <w:sz w:val="24"/>
          <w:szCs w:val="24"/>
        </w:rPr>
        <w:t>торскую задолженность (с учетом пени) собственников квартир по взносам на капитальный ремонт.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В настоящее время средний уровень собираемости взносов на капитальный ремонт составляет 76% по причине того, что есть просроченная дебиторская задолженность. 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В этой связи вопросы: </w:t>
      </w:r>
    </w:p>
    <w:p w:rsidR="008F2ADD" w:rsidRPr="008F2ADD" w:rsidRDefault="008F2ADD" w:rsidP="008F2ADD">
      <w:pPr>
        <w:pStyle w:val="af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Должен ли быть в финансовой (бухгалтерской) отчетности организации сформирован резерв по сомнительным долгам собственников квартир по взносам на капитальный ремонт?</w:t>
      </w:r>
    </w:p>
    <w:p w:rsidR="008F2ADD" w:rsidRPr="008F2ADD" w:rsidRDefault="008F2ADD" w:rsidP="008F2ADD">
      <w:pPr>
        <w:pStyle w:val="af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Если резерв по сомнительным долгам должен быть сформирован организацией, то за </w:t>
      </w:r>
      <w:proofErr w:type="gramStart"/>
      <w:r w:rsidRPr="008F2ADD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8F2ADD">
        <w:rPr>
          <w:rFonts w:ascii="Times New Roman" w:hAnsi="Times New Roman" w:cs="Times New Roman"/>
          <w:sz w:val="24"/>
          <w:szCs w:val="24"/>
        </w:rPr>
        <w:t xml:space="preserve"> к</w:t>
      </w:r>
      <w:r w:rsidRPr="008F2ADD">
        <w:rPr>
          <w:rFonts w:ascii="Times New Roman" w:hAnsi="Times New Roman" w:cs="Times New Roman"/>
          <w:sz w:val="24"/>
          <w:szCs w:val="24"/>
        </w:rPr>
        <w:t>а</w:t>
      </w:r>
      <w:r w:rsidRPr="008F2ADD">
        <w:rPr>
          <w:rFonts w:ascii="Times New Roman" w:hAnsi="Times New Roman" w:cs="Times New Roman"/>
          <w:sz w:val="24"/>
          <w:szCs w:val="24"/>
        </w:rPr>
        <w:t>кого источника он должен быть сформирован?</w:t>
      </w:r>
    </w:p>
    <w:p w:rsidR="008F2ADD" w:rsidRPr="008F2ADD" w:rsidRDefault="008F2ADD" w:rsidP="008F2ADD">
      <w:pPr>
        <w:pStyle w:val="af"/>
        <w:shd w:val="clear" w:color="auto" w:fill="FFFFFF"/>
        <w:spacing w:before="100" w:beforeAutospacing="1" w:after="100" w:afterAutospacing="1" w:line="3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2ADD" w:rsidRPr="008F2ADD" w:rsidRDefault="008F2ADD" w:rsidP="008F2ADD">
      <w:pPr>
        <w:pStyle w:val="2"/>
        <w:ind w:firstLine="0"/>
        <w:jc w:val="left"/>
        <w:rPr>
          <w:rFonts w:ascii="Times New Roman" w:hAnsi="Times New Roman" w:cs="Times New Roman"/>
          <w:bCs/>
          <w:szCs w:val="24"/>
        </w:rPr>
      </w:pPr>
      <w:r w:rsidRPr="008F2ADD">
        <w:rPr>
          <w:rFonts w:ascii="Times New Roman" w:hAnsi="Times New Roman" w:cs="Times New Roman"/>
          <w:szCs w:val="24"/>
        </w:rPr>
        <w:t>РЕШЕНИЕ</w:t>
      </w:r>
    </w:p>
    <w:p w:rsidR="008F2ADD" w:rsidRPr="008F2ADD" w:rsidRDefault="008F2ADD" w:rsidP="008F2ADD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случае наличия просроченной дебиторской задолженности собственников квартир по взн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сам на капитальный ремонт организации создают резервы по сомнительной задолженности.</w:t>
      </w:r>
    </w:p>
    <w:p w:rsidR="008F2ADD" w:rsidRPr="008F2ADD" w:rsidRDefault="008F2ADD" w:rsidP="008F2AD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связи с тем, что оплата взносов собственников квартир на капитальный ремонт для орган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зации не является коммерческой деятельностью, резервы создаются за счет уменьшения фо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</w:t>
      </w: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 целевого финансирования </w:t>
      </w:r>
    </w:p>
    <w:p w:rsidR="008F2ADD" w:rsidRPr="008F2ADD" w:rsidRDefault="008F2ADD" w:rsidP="008F2ADD">
      <w:pPr>
        <w:numPr>
          <w:ilvl w:val="0"/>
          <w:numId w:val="5"/>
        </w:numPr>
        <w:jc w:val="both"/>
        <w:rPr>
          <w:rStyle w:val="aff0"/>
          <w:rFonts w:ascii="Times New Roman" w:hAnsi="Times New Roman" w:cs="Times New Roman"/>
          <w:b w:val="0"/>
          <w:bCs w:val="0"/>
          <w:color w:val="31849B" w:themeColor="accent5" w:themeShade="BF"/>
          <w:sz w:val="24"/>
          <w:szCs w:val="24"/>
        </w:rPr>
      </w:pPr>
      <w:r w:rsidRPr="008F2ADD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Восстановление ранее признанного резерва или списание его производится также за счет фонда целевого финансирования. </w:t>
      </w:r>
    </w:p>
    <w:p w:rsidR="008F2ADD" w:rsidRPr="008F2ADD" w:rsidRDefault="008F2ADD" w:rsidP="008F2ADD">
      <w:pPr>
        <w:pStyle w:val="2"/>
        <w:ind w:firstLine="0"/>
        <w:jc w:val="left"/>
        <w:rPr>
          <w:rFonts w:ascii="Times New Roman" w:hAnsi="Times New Roman" w:cs="Times New Roman"/>
          <w:bCs/>
          <w:szCs w:val="24"/>
        </w:rPr>
      </w:pPr>
      <w:r w:rsidRPr="008F2ADD">
        <w:rPr>
          <w:rFonts w:ascii="Times New Roman" w:hAnsi="Times New Roman" w:cs="Times New Roman"/>
          <w:szCs w:val="24"/>
        </w:rPr>
        <w:lastRenderedPageBreak/>
        <w:t>ОСНОВА ДЛЯ ВЫВОДОВ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ADD">
        <w:rPr>
          <w:rFonts w:ascii="Times New Roman" w:hAnsi="Times New Roman" w:cs="Times New Roman"/>
          <w:sz w:val="24"/>
          <w:szCs w:val="24"/>
        </w:rPr>
        <w:t xml:space="preserve">В соответствии с п.70 Приказа Минфина РФ </w:t>
      </w:r>
      <w:r w:rsidRPr="008F2A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2ADD">
        <w:rPr>
          <w:rFonts w:ascii="Times New Roman" w:hAnsi="Times New Roman" w:cs="Times New Roman"/>
          <w:sz w:val="24"/>
          <w:szCs w:val="24"/>
        </w:rPr>
        <w:t xml:space="preserve"> 34-н от 29.07.1998  (далее – Положение) «Положение по ведению бухгалтерского учета и бухгалтерской отчетности в Российской Федерации» (в ред. Пр</w:t>
      </w:r>
      <w:r w:rsidRPr="008F2ADD">
        <w:rPr>
          <w:rFonts w:ascii="Times New Roman" w:hAnsi="Times New Roman" w:cs="Times New Roman"/>
          <w:sz w:val="24"/>
          <w:szCs w:val="24"/>
        </w:rPr>
        <w:t>и</w:t>
      </w:r>
      <w:r w:rsidRPr="008F2ADD">
        <w:rPr>
          <w:rFonts w:ascii="Times New Roman" w:hAnsi="Times New Roman" w:cs="Times New Roman"/>
          <w:sz w:val="24"/>
          <w:szCs w:val="24"/>
        </w:rPr>
        <w:t xml:space="preserve">каза Минфина  186-н от 24.12.2010) идентифицируется величина сомнительного долга и </w:t>
      </w:r>
      <w:proofErr w:type="spellStart"/>
      <w:r w:rsidRPr="008F2ADD">
        <w:rPr>
          <w:rFonts w:ascii="Times New Roman" w:hAnsi="Times New Roman" w:cs="Times New Roman"/>
          <w:sz w:val="24"/>
          <w:szCs w:val="24"/>
        </w:rPr>
        <w:t>персониф</w:t>
      </w:r>
      <w:r w:rsidRPr="008F2ADD">
        <w:rPr>
          <w:rFonts w:ascii="Times New Roman" w:hAnsi="Times New Roman" w:cs="Times New Roman"/>
          <w:sz w:val="24"/>
          <w:szCs w:val="24"/>
        </w:rPr>
        <w:t>и</w:t>
      </w:r>
      <w:r w:rsidRPr="008F2ADD">
        <w:rPr>
          <w:rFonts w:ascii="Times New Roman" w:hAnsi="Times New Roman" w:cs="Times New Roman"/>
          <w:sz w:val="24"/>
          <w:szCs w:val="24"/>
        </w:rPr>
        <w:t>цированно</w:t>
      </w:r>
      <w:proofErr w:type="spellEnd"/>
      <w:r w:rsidRPr="008F2ADD">
        <w:rPr>
          <w:rFonts w:ascii="Times New Roman" w:hAnsi="Times New Roman" w:cs="Times New Roman"/>
          <w:sz w:val="24"/>
          <w:szCs w:val="24"/>
        </w:rPr>
        <w:t xml:space="preserve"> определяется размер резерва по сомнительным долгам на конкретную дату (установле</w:t>
      </w:r>
      <w:r w:rsidRPr="008F2ADD">
        <w:rPr>
          <w:rFonts w:ascii="Times New Roman" w:hAnsi="Times New Roman" w:cs="Times New Roman"/>
          <w:sz w:val="24"/>
          <w:szCs w:val="24"/>
        </w:rPr>
        <w:t>н</w:t>
      </w:r>
      <w:r w:rsidRPr="008F2ADD">
        <w:rPr>
          <w:rFonts w:ascii="Times New Roman" w:hAnsi="Times New Roman" w:cs="Times New Roman"/>
          <w:sz w:val="24"/>
          <w:szCs w:val="24"/>
        </w:rPr>
        <w:t>ная дата платежа по договору или региональному  законодательству).</w:t>
      </w:r>
      <w:proofErr w:type="gramEnd"/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ADD">
        <w:rPr>
          <w:rFonts w:ascii="Times New Roman" w:hAnsi="Times New Roman" w:cs="Times New Roman"/>
          <w:sz w:val="24"/>
          <w:szCs w:val="24"/>
        </w:rPr>
        <w:t>Согласно  п.77 Положения дебиторская  задолженность, по которой срок исковой давности истек, другие долги, нереальные для взыскания, списываются по каждому обязательству на основании да</w:t>
      </w:r>
      <w:r w:rsidRPr="008F2ADD">
        <w:rPr>
          <w:rFonts w:ascii="Times New Roman" w:hAnsi="Times New Roman" w:cs="Times New Roman"/>
          <w:sz w:val="24"/>
          <w:szCs w:val="24"/>
        </w:rPr>
        <w:t>н</w:t>
      </w:r>
      <w:r w:rsidRPr="008F2ADD">
        <w:rPr>
          <w:rFonts w:ascii="Times New Roman" w:hAnsi="Times New Roman" w:cs="Times New Roman"/>
          <w:sz w:val="24"/>
          <w:szCs w:val="24"/>
        </w:rPr>
        <w:t>ных  проведенной инвентаризации, письменного обоснования и приказа (распоряжения) руководит</w:t>
      </w:r>
      <w:r w:rsidRPr="008F2ADD">
        <w:rPr>
          <w:rFonts w:ascii="Times New Roman" w:hAnsi="Times New Roman" w:cs="Times New Roman"/>
          <w:sz w:val="24"/>
          <w:szCs w:val="24"/>
        </w:rPr>
        <w:t>е</w:t>
      </w:r>
      <w:r w:rsidRPr="008F2ADD">
        <w:rPr>
          <w:rFonts w:ascii="Times New Roman" w:hAnsi="Times New Roman" w:cs="Times New Roman"/>
          <w:sz w:val="24"/>
          <w:szCs w:val="24"/>
        </w:rPr>
        <w:t>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 отчетному, суммы этих долгов не резервировались в</w:t>
      </w:r>
      <w:proofErr w:type="gramEnd"/>
      <w:r w:rsidRPr="008F2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AD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F2ADD">
        <w:rPr>
          <w:rFonts w:ascii="Times New Roman" w:hAnsi="Times New Roman" w:cs="Times New Roman"/>
          <w:sz w:val="24"/>
          <w:szCs w:val="24"/>
        </w:rPr>
        <w:t>, предусмотренном пунктом 70 Положения, или на увеличение расходов у некоммерческой организации.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Учитывая отсутствие у НКО финансовых результатов, источником формирования резерва по сомн</w:t>
      </w:r>
      <w:r w:rsidRPr="008F2ADD">
        <w:rPr>
          <w:rFonts w:ascii="Times New Roman" w:hAnsi="Times New Roman" w:cs="Times New Roman"/>
          <w:sz w:val="24"/>
          <w:szCs w:val="24"/>
        </w:rPr>
        <w:t>и</w:t>
      </w:r>
      <w:r w:rsidRPr="008F2ADD">
        <w:rPr>
          <w:rFonts w:ascii="Times New Roman" w:hAnsi="Times New Roman" w:cs="Times New Roman"/>
          <w:sz w:val="24"/>
          <w:szCs w:val="24"/>
        </w:rPr>
        <w:t xml:space="preserve">тельным долгам для НКО может быть только целевой фонд - целевые поступления, отражаемые в бухгалтерском учете по кредиту счета 86 «Целевое финансирование». </w:t>
      </w:r>
    </w:p>
    <w:p w:rsidR="008F2ADD" w:rsidRPr="008F2ADD" w:rsidRDefault="008F2ADD" w:rsidP="008F2ADD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Учитывая,   что  моментом признания возникновения сомнительного долга  в соответствие с закон</w:t>
      </w:r>
      <w:r w:rsidRPr="008F2ADD">
        <w:rPr>
          <w:rFonts w:ascii="Times New Roman" w:hAnsi="Times New Roman" w:cs="Times New Roman"/>
          <w:sz w:val="24"/>
          <w:szCs w:val="24"/>
        </w:rPr>
        <w:t>о</w:t>
      </w:r>
      <w:r w:rsidRPr="008F2ADD">
        <w:rPr>
          <w:rFonts w:ascii="Times New Roman" w:hAnsi="Times New Roman" w:cs="Times New Roman"/>
          <w:sz w:val="24"/>
          <w:szCs w:val="24"/>
        </w:rPr>
        <w:t xml:space="preserve">дательством является  момент нарушения  срока уплаты взносов,  установленный договором или территориальными нормативными актами,   регулирующими сроки уплаты собственниками жилья взносов на капитальный ремонт, владелец фонда должен </w:t>
      </w:r>
      <w:proofErr w:type="gramStart"/>
      <w:r w:rsidRPr="008F2ADD">
        <w:rPr>
          <w:rFonts w:ascii="Times New Roman" w:hAnsi="Times New Roman" w:cs="Times New Roman"/>
          <w:sz w:val="24"/>
          <w:szCs w:val="24"/>
        </w:rPr>
        <w:t>создавать резерв по сомнительным долгам персонифицировано</w:t>
      </w:r>
      <w:proofErr w:type="gramEnd"/>
      <w:r w:rsidRPr="008F2ADD">
        <w:rPr>
          <w:rFonts w:ascii="Times New Roman" w:hAnsi="Times New Roman" w:cs="Times New Roman"/>
          <w:sz w:val="24"/>
          <w:szCs w:val="24"/>
        </w:rPr>
        <w:t xml:space="preserve"> по каждому должнику в момент признания долга сомнительным.</w:t>
      </w:r>
    </w:p>
    <w:p w:rsidR="008F2ADD" w:rsidRPr="008F2ADD" w:rsidRDefault="008F2ADD" w:rsidP="008F2ADD">
      <w:pPr>
        <w:pStyle w:val="2"/>
        <w:ind w:firstLine="0"/>
        <w:jc w:val="left"/>
        <w:rPr>
          <w:rFonts w:ascii="Times New Roman" w:hAnsi="Times New Roman" w:cs="Times New Roman"/>
          <w:szCs w:val="24"/>
        </w:rPr>
      </w:pPr>
      <w:r w:rsidRPr="008F2ADD">
        <w:rPr>
          <w:rFonts w:ascii="Times New Roman" w:hAnsi="Times New Roman" w:cs="Times New Roman"/>
          <w:szCs w:val="24"/>
        </w:rPr>
        <w:t>ИЛЛЮСТРАТИВНЫЙ ПРИМЕР</w:t>
      </w:r>
    </w:p>
    <w:p w:rsidR="008F2ADD" w:rsidRPr="008F2ADD" w:rsidRDefault="008F2ADD" w:rsidP="008F2ADD">
      <w:pPr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Порядок отражения в учете и отчетности организации резервов по взносам на капитальный ремонт: </w:t>
      </w:r>
    </w:p>
    <w:p w:rsidR="008F2ADD" w:rsidRPr="008F2ADD" w:rsidRDefault="008F2ADD" w:rsidP="008F2ADD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У организации на отчетную дату (31-12-2015) имеется просроченная задолженность собс</w:t>
      </w:r>
      <w:r w:rsidRPr="008F2ADD">
        <w:rPr>
          <w:rFonts w:ascii="Times New Roman" w:hAnsi="Times New Roman" w:cs="Times New Roman"/>
          <w:sz w:val="24"/>
          <w:szCs w:val="24"/>
        </w:rPr>
        <w:t>т</w:t>
      </w:r>
      <w:r w:rsidRPr="008F2ADD">
        <w:rPr>
          <w:rFonts w:ascii="Times New Roman" w:hAnsi="Times New Roman" w:cs="Times New Roman"/>
          <w:sz w:val="24"/>
          <w:szCs w:val="24"/>
        </w:rPr>
        <w:t xml:space="preserve">венника квартиры по взносам на капитальный ремонт в размере 100 руб. </w:t>
      </w:r>
    </w:p>
    <w:p w:rsidR="008F2ADD" w:rsidRPr="008F2ADD" w:rsidRDefault="008F2ADD" w:rsidP="008F2A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F2ADD" w:rsidRPr="008F2ADD" w:rsidRDefault="008F2ADD" w:rsidP="008F2A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На отчетную дату в отчетности организации признается резерв в размере 100 руб. </w:t>
      </w:r>
    </w:p>
    <w:p w:rsidR="008F2ADD" w:rsidRPr="008F2ADD" w:rsidRDefault="008F2ADD" w:rsidP="008F2ADD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Дт 86 «Целевое финансирование» </w:t>
      </w:r>
    </w:p>
    <w:p w:rsidR="008F2ADD" w:rsidRPr="008F2ADD" w:rsidRDefault="008F2ADD" w:rsidP="008F2ADD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Кт 63 «Резервы по сомнительной задолженности» </w:t>
      </w:r>
    </w:p>
    <w:p w:rsidR="008F2ADD" w:rsidRPr="008F2ADD" w:rsidRDefault="008F2ADD" w:rsidP="008F2ADD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ADD">
        <w:rPr>
          <w:rFonts w:ascii="Times New Roman" w:hAnsi="Times New Roman" w:cs="Times New Roman"/>
          <w:sz w:val="24"/>
          <w:szCs w:val="24"/>
        </w:rPr>
        <w:t>Сумма – 100 руб. (100</w:t>
      </w:r>
      <w:r w:rsidRPr="008F2ADD">
        <w:rPr>
          <w:rFonts w:ascii="Times New Roman" w:hAnsi="Times New Roman" w:cs="Times New Roman"/>
          <w:sz w:val="24"/>
          <w:szCs w:val="24"/>
          <w:lang w:val="en-US"/>
        </w:rPr>
        <w:t xml:space="preserve">%) </w:t>
      </w:r>
    </w:p>
    <w:p w:rsidR="008F2ADD" w:rsidRPr="008F2ADD" w:rsidRDefault="008F2ADD" w:rsidP="008F2ADD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В следующем после отчетной даты на расчетный счет организации поступают средства в ча</w:t>
      </w:r>
      <w:r w:rsidRPr="008F2ADD">
        <w:rPr>
          <w:rFonts w:ascii="Times New Roman" w:hAnsi="Times New Roman" w:cs="Times New Roman"/>
          <w:sz w:val="24"/>
          <w:szCs w:val="24"/>
        </w:rPr>
        <w:t>с</w:t>
      </w:r>
      <w:r w:rsidRPr="008F2ADD">
        <w:rPr>
          <w:rFonts w:ascii="Times New Roman" w:hAnsi="Times New Roman" w:cs="Times New Roman"/>
          <w:sz w:val="24"/>
          <w:szCs w:val="24"/>
        </w:rPr>
        <w:t>ти погашения задолженности в размере 10 руб.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Дт 51 «Расчетный счет» 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Кт 76 «Расчеты с прочими дебиторами и кредиторами» 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Сумма – 10 руб. </w:t>
      </w:r>
    </w:p>
    <w:p w:rsidR="008F2ADD" w:rsidRPr="008F2ADD" w:rsidRDefault="008F2ADD" w:rsidP="008F2A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После поступления оплаты производится восстановление резерва в размере поступившей о</w:t>
      </w:r>
      <w:r w:rsidRPr="008F2ADD">
        <w:rPr>
          <w:rFonts w:ascii="Times New Roman" w:hAnsi="Times New Roman" w:cs="Times New Roman"/>
          <w:sz w:val="24"/>
          <w:szCs w:val="24"/>
        </w:rPr>
        <w:t>п</w:t>
      </w:r>
      <w:r w:rsidRPr="008F2ADD">
        <w:rPr>
          <w:rFonts w:ascii="Times New Roman" w:hAnsi="Times New Roman" w:cs="Times New Roman"/>
          <w:sz w:val="24"/>
          <w:szCs w:val="24"/>
        </w:rPr>
        <w:t xml:space="preserve">латы следующими проводками: </w:t>
      </w:r>
    </w:p>
    <w:p w:rsidR="008F2ADD" w:rsidRPr="008F2ADD" w:rsidRDefault="008F2ADD" w:rsidP="008F2ADD">
      <w:pPr>
        <w:pStyle w:val="afb"/>
        <w:ind w:left="1416"/>
        <w:contextualSpacing/>
        <w:jc w:val="both"/>
        <w:rPr>
          <w:rFonts w:eastAsia="Calibri"/>
        </w:rPr>
      </w:pPr>
      <w:r w:rsidRPr="008F2ADD">
        <w:rPr>
          <w:rFonts w:eastAsia="Calibri"/>
        </w:rPr>
        <w:t xml:space="preserve">Дт 63 </w:t>
      </w:r>
      <w:r w:rsidRPr="008F2ADD">
        <w:t>«Резервы по сомнительной задолженности»</w:t>
      </w:r>
    </w:p>
    <w:p w:rsidR="008F2ADD" w:rsidRPr="008F2ADD" w:rsidRDefault="008F2ADD" w:rsidP="008F2ADD">
      <w:pPr>
        <w:pStyle w:val="afb"/>
        <w:ind w:left="1416"/>
        <w:contextualSpacing/>
        <w:jc w:val="both"/>
      </w:pPr>
      <w:r w:rsidRPr="008F2ADD">
        <w:rPr>
          <w:rFonts w:eastAsia="Calibri"/>
        </w:rPr>
        <w:t xml:space="preserve">Кт 86 </w:t>
      </w:r>
      <w:r w:rsidRPr="008F2ADD">
        <w:t>«Целевое финансирование»</w:t>
      </w:r>
    </w:p>
    <w:p w:rsidR="008F2ADD" w:rsidRPr="008F2ADD" w:rsidRDefault="008F2ADD" w:rsidP="008F2ADD">
      <w:pPr>
        <w:pStyle w:val="afb"/>
        <w:ind w:left="1416"/>
        <w:contextualSpacing/>
        <w:jc w:val="both"/>
      </w:pPr>
      <w:r w:rsidRPr="008F2ADD">
        <w:t>Сумма – 10 руб.</w:t>
      </w:r>
    </w:p>
    <w:p w:rsidR="008F2ADD" w:rsidRPr="008F2ADD" w:rsidRDefault="008F2ADD" w:rsidP="008F2ADD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2016 года организация признает оставшуюся сумму долга в размере 90 руб. – безнадежным долгом (невозможным к взысканию). </w:t>
      </w:r>
    </w:p>
    <w:p w:rsidR="008F2ADD" w:rsidRPr="008F2ADD" w:rsidRDefault="008F2ADD" w:rsidP="008F2A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Признание долга </w:t>
      </w:r>
      <w:proofErr w:type="gramStart"/>
      <w:r w:rsidRPr="008F2ADD">
        <w:rPr>
          <w:rFonts w:ascii="Times New Roman" w:hAnsi="Times New Roman" w:cs="Times New Roman"/>
          <w:sz w:val="24"/>
          <w:szCs w:val="24"/>
        </w:rPr>
        <w:t>безнадежным</w:t>
      </w:r>
      <w:proofErr w:type="gramEnd"/>
      <w:r w:rsidRPr="008F2ADD">
        <w:rPr>
          <w:rFonts w:ascii="Times New Roman" w:hAnsi="Times New Roman" w:cs="Times New Roman"/>
          <w:sz w:val="24"/>
          <w:szCs w:val="24"/>
        </w:rPr>
        <w:t xml:space="preserve"> отражается следующими проводками: 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Дт 86 «Целевое финансирование» 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Кт 76 «Расчеты с прочими дебиторами и кредиторами» </w:t>
      </w:r>
    </w:p>
    <w:p w:rsidR="008F2ADD" w:rsidRPr="008F2ADD" w:rsidRDefault="008F2ADD" w:rsidP="008F2ADD">
      <w:pPr>
        <w:pStyle w:val="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 xml:space="preserve">Сумма – 90 руб. </w:t>
      </w:r>
    </w:p>
    <w:p w:rsidR="008F2ADD" w:rsidRPr="008F2ADD" w:rsidRDefault="008F2ADD" w:rsidP="008F2A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F2ADD" w:rsidRPr="008F2ADD" w:rsidRDefault="008F2ADD" w:rsidP="008F2A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F2ADD">
        <w:rPr>
          <w:rFonts w:ascii="Times New Roman" w:hAnsi="Times New Roman" w:cs="Times New Roman"/>
          <w:sz w:val="24"/>
          <w:szCs w:val="24"/>
        </w:rPr>
        <w:t>После списания безнадежной задолженности производится восстановление резерва следу</w:t>
      </w:r>
      <w:r w:rsidRPr="008F2ADD">
        <w:rPr>
          <w:rFonts w:ascii="Times New Roman" w:hAnsi="Times New Roman" w:cs="Times New Roman"/>
          <w:sz w:val="24"/>
          <w:szCs w:val="24"/>
        </w:rPr>
        <w:t>ю</w:t>
      </w:r>
      <w:r w:rsidRPr="008F2ADD">
        <w:rPr>
          <w:rFonts w:ascii="Times New Roman" w:hAnsi="Times New Roman" w:cs="Times New Roman"/>
          <w:sz w:val="24"/>
          <w:szCs w:val="24"/>
        </w:rPr>
        <w:t xml:space="preserve">щими проводками: </w:t>
      </w:r>
    </w:p>
    <w:p w:rsidR="008F2ADD" w:rsidRPr="008F2ADD" w:rsidRDefault="008F2ADD" w:rsidP="008F2ADD">
      <w:pPr>
        <w:pStyle w:val="afb"/>
        <w:ind w:left="1416"/>
        <w:contextualSpacing/>
        <w:jc w:val="both"/>
        <w:rPr>
          <w:rFonts w:eastAsia="Calibri"/>
        </w:rPr>
      </w:pPr>
      <w:r w:rsidRPr="008F2ADD">
        <w:rPr>
          <w:rFonts w:eastAsia="Calibri"/>
        </w:rPr>
        <w:t xml:space="preserve">Дт 63 </w:t>
      </w:r>
      <w:r w:rsidRPr="008F2ADD">
        <w:t>«Резервы по сомнительной задолженности»</w:t>
      </w:r>
    </w:p>
    <w:p w:rsidR="008F2ADD" w:rsidRPr="008F2ADD" w:rsidRDefault="008F2ADD" w:rsidP="008F2ADD">
      <w:pPr>
        <w:pStyle w:val="afb"/>
        <w:ind w:left="1416"/>
        <w:contextualSpacing/>
        <w:jc w:val="both"/>
      </w:pPr>
      <w:r w:rsidRPr="008F2ADD">
        <w:rPr>
          <w:rFonts w:eastAsia="Calibri"/>
        </w:rPr>
        <w:t xml:space="preserve">Кт 86 </w:t>
      </w:r>
      <w:r w:rsidRPr="008F2ADD">
        <w:t>«Целевое финансирование»</w:t>
      </w:r>
    </w:p>
    <w:p w:rsidR="008F2ADD" w:rsidRPr="008F2ADD" w:rsidRDefault="008F2ADD" w:rsidP="008F2ADD">
      <w:pPr>
        <w:pStyle w:val="afb"/>
        <w:ind w:left="1416"/>
        <w:contextualSpacing/>
        <w:jc w:val="both"/>
      </w:pPr>
      <w:r w:rsidRPr="008F2ADD">
        <w:t>Сумма – 90 руб.</w:t>
      </w:r>
    </w:p>
    <w:p w:rsidR="008F2ADD" w:rsidRDefault="008F2ADD" w:rsidP="008F2ADD">
      <w:pPr>
        <w:pStyle w:val="afb"/>
        <w:ind w:left="1416"/>
        <w:contextualSpacing/>
        <w:jc w:val="both"/>
        <w:rPr>
          <w:rFonts w:eastAsia="Calibri"/>
          <w:sz w:val="28"/>
          <w:szCs w:val="28"/>
        </w:rPr>
      </w:pPr>
    </w:p>
    <w:p w:rsidR="008F2ADD" w:rsidRPr="00AC3604" w:rsidRDefault="008F2ADD" w:rsidP="008F2ADD">
      <w:pPr>
        <w:pStyle w:val="afb"/>
        <w:jc w:val="both"/>
        <w:rPr>
          <w:sz w:val="28"/>
          <w:szCs w:val="28"/>
        </w:rPr>
      </w:pPr>
    </w:p>
    <w:p w:rsidR="007E29C1" w:rsidRPr="00580723" w:rsidRDefault="007E29C1" w:rsidP="008F2ADD">
      <w:pPr>
        <w:pStyle w:val="1"/>
        <w:spacing w:before="120"/>
        <w:jc w:val="center"/>
        <w:rPr>
          <w:rFonts w:ascii="Times New Roman" w:hAnsi="Times New Roman" w:cs="Times New Roman"/>
          <w:color w:val="auto"/>
          <w:szCs w:val="24"/>
        </w:rPr>
      </w:pPr>
    </w:p>
    <w:sectPr w:rsidR="007E29C1" w:rsidRPr="00580723" w:rsidSect="00FB271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4D" w:rsidRDefault="005B2B4D" w:rsidP="003F7FE8">
      <w:pPr>
        <w:spacing w:after="0" w:line="240" w:lineRule="auto"/>
      </w:pPr>
      <w:r>
        <w:separator/>
      </w:r>
    </w:p>
  </w:endnote>
  <w:endnote w:type="continuationSeparator" w:id="0">
    <w:p w:rsidR="005B2B4D" w:rsidRDefault="005B2B4D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250BAE">
          <w:fldChar w:fldCharType="begin"/>
        </w:r>
        <w:r w:rsidR="00324504">
          <w:instrText>PAGE   \* MERGEFORMAT</w:instrText>
        </w:r>
        <w:r w:rsidR="00250BAE">
          <w:fldChar w:fldCharType="separate"/>
        </w:r>
        <w:r w:rsidR="000A7DF2">
          <w:rPr>
            <w:noProof/>
          </w:rPr>
          <w:t>3</w:t>
        </w:r>
        <w:r w:rsidR="00250BAE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250BAE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0A7DF2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4D" w:rsidRDefault="005B2B4D" w:rsidP="003F7FE8">
      <w:pPr>
        <w:spacing w:after="0" w:line="240" w:lineRule="auto"/>
      </w:pPr>
      <w:r>
        <w:separator/>
      </w:r>
    </w:p>
  </w:footnote>
  <w:footnote w:type="continuationSeparator" w:id="0">
    <w:p w:rsidR="005B2B4D" w:rsidRDefault="005B2B4D" w:rsidP="003F7FE8">
      <w:pPr>
        <w:spacing w:after="0" w:line="240" w:lineRule="auto"/>
      </w:pPr>
      <w:r>
        <w:continuationSeparator/>
      </w:r>
    </w:p>
  </w:footnote>
  <w:footnote w:id="1">
    <w:p w:rsidR="008F2ADD" w:rsidRPr="00D41021" w:rsidRDefault="008F2ADD" w:rsidP="008F2ADD">
      <w:pPr>
        <w:shd w:val="clear" w:color="auto" w:fill="FFFFFF"/>
        <w:spacing w:before="100" w:beforeAutospacing="1" w:after="100" w:afterAutospacing="1" w:line="323" w:lineRule="atLeast"/>
        <w:ind w:left="709"/>
        <w:jc w:val="both"/>
        <w:rPr>
          <w:rFonts w:cs="Times New Roman"/>
        </w:rPr>
      </w:pPr>
      <w:r w:rsidRPr="00D41021">
        <w:rPr>
          <w:rStyle w:val="af5"/>
        </w:rPr>
        <w:footnoteRef/>
      </w:r>
      <w:r w:rsidRPr="00D41021">
        <w:t xml:space="preserve"> </w:t>
      </w:r>
      <w:r w:rsidRPr="00D41021">
        <w:rPr>
          <w:rFonts w:cs="Times New Roman"/>
        </w:rPr>
        <w:t>Владельцами фондов капитального ремонта могут быть следующие некоммерческие организации (НКО): товарищество собственников жилья, жилищный кооператив, жилищно-строительный коопер</w:t>
      </w:r>
      <w:r w:rsidRPr="00D41021">
        <w:rPr>
          <w:rFonts w:cs="Times New Roman"/>
        </w:rPr>
        <w:t>а</w:t>
      </w:r>
      <w:r w:rsidRPr="00D41021">
        <w:rPr>
          <w:rFonts w:cs="Times New Roman"/>
        </w:rPr>
        <w:t xml:space="preserve">тив, иной специализированный потребительский кооператив, региональный оператор. </w:t>
      </w:r>
    </w:p>
    <w:p w:rsidR="008F2ADD" w:rsidRDefault="008F2ADD" w:rsidP="008F2ADD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0E85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20627"/>
    <w:multiLevelType w:val="hybridMultilevel"/>
    <w:tmpl w:val="4BE89068"/>
    <w:lvl w:ilvl="0" w:tplc="0366B488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85DFE"/>
    <w:multiLevelType w:val="hybridMultilevel"/>
    <w:tmpl w:val="4B4C06B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321BB"/>
    <w:multiLevelType w:val="hybridMultilevel"/>
    <w:tmpl w:val="579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754F"/>
    <w:multiLevelType w:val="hybridMultilevel"/>
    <w:tmpl w:val="4ED82212"/>
    <w:lvl w:ilvl="0" w:tplc="7D0E0FE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24787716" w:tentative="1">
      <w:start w:val="1"/>
      <w:numFmt w:val="lowerLetter"/>
      <w:lvlText w:val="%2."/>
      <w:lvlJc w:val="left"/>
      <w:pPr>
        <w:ind w:left="1440" w:hanging="360"/>
      </w:pPr>
    </w:lvl>
    <w:lvl w:ilvl="2" w:tplc="E766CD66" w:tentative="1">
      <w:start w:val="1"/>
      <w:numFmt w:val="lowerRoman"/>
      <w:lvlText w:val="%3."/>
      <w:lvlJc w:val="right"/>
      <w:pPr>
        <w:ind w:left="2160" w:hanging="180"/>
      </w:pPr>
    </w:lvl>
    <w:lvl w:ilvl="3" w:tplc="741A7002" w:tentative="1">
      <w:start w:val="1"/>
      <w:numFmt w:val="decimal"/>
      <w:lvlText w:val="%4."/>
      <w:lvlJc w:val="left"/>
      <w:pPr>
        <w:ind w:left="2880" w:hanging="360"/>
      </w:pPr>
    </w:lvl>
    <w:lvl w:ilvl="4" w:tplc="6164AFFA" w:tentative="1">
      <w:start w:val="1"/>
      <w:numFmt w:val="lowerLetter"/>
      <w:lvlText w:val="%5."/>
      <w:lvlJc w:val="left"/>
      <w:pPr>
        <w:ind w:left="3600" w:hanging="360"/>
      </w:pPr>
    </w:lvl>
    <w:lvl w:ilvl="5" w:tplc="8B000B74" w:tentative="1">
      <w:start w:val="1"/>
      <w:numFmt w:val="lowerRoman"/>
      <w:lvlText w:val="%6."/>
      <w:lvlJc w:val="right"/>
      <w:pPr>
        <w:ind w:left="4320" w:hanging="180"/>
      </w:pPr>
    </w:lvl>
    <w:lvl w:ilvl="6" w:tplc="B280442E" w:tentative="1">
      <w:start w:val="1"/>
      <w:numFmt w:val="decimal"/>
      <w:lvlText w:val="%7."/>
      <w:lvlJc w:val="left"/>
      <w:pPr>
        <w:ind w:left="5040" w:hanging="360"/>
      </w:pPr>
    </w:lvl>
    <w:lvl w:ilvl="7" w:tplc="01708014" w:tentative="1">
      <w:start w:val="1"/>
      <w:numFmt w:val="lowerLetter"/>
      <w:lvlText w:val="%8."/>
      <w:lvlJc w:val="left"/>
      <w:pPr>
        <w:ind w:left="5760" w:hanging="360"/>
      </w:pPr>
    </w:lvl>
    <w:lvl w:ilvl="8" w:tplc="1CB0F5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22"/>
  </w:num>
  <w:num w:numId="9">
    <w:abstractNumId w:val="18"/>
  </w:num>
  <w:num w:numId="10">
    <w:abstractNumId w:val="17"/>
  </w:num>
  <w:num w:numId="11">
    <w:abstractNumId w:val="3"/>
  </w:num>
  <w:num w:numId="12">
    <w:abstractNumId w:val="23"/>
  </w:num>
  <w:num w:numId="13">
    <w:abstractNumId w:val="6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0"/>
  </w:num>
  <w:num w:numId="23">
    <w:abstractNumId w:val="5"/>
  </w:num>
  <w:num w:numId="24">
    <w:abstractNumId w:val="10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A7DF2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0BAE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2B4D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C8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99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link w:val="af"/>
    <w:uiPriority w:val="99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83C0-EB99-42F2-A91C-2831CE35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2017-11-03T09:34:00Z</cp:lastPrinted>
  <dcterms:created xsi:type="dcterms:W3CDTF">2018-12-04T12:43:00Z</dcterms:created>
  <dcterms:modified xsi:type="dcterms:W3CDTF">2019-01-25T10:40:00Z</dcterms:modified>
</cp:coreProperties>
</file>