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693"/>
      </w:tblGrid>
      <w:tr w:rsidR="00F2002E" w:rsidRPr="000867D7" w:rsidTr="00D31B31">
        <w:tc>
          <w:tcPr>
            <w:tcW w:w="6663" w:type="dxa"/>
          </w:tcPr>
          <w:p w:rsidR="00F2002E" w:rsidRPr="000867D7" w:rsidRDefault="00F2002E" w:rsidP="00594321">
            <w:pPr>
              <w:suppressAutoHyphens/>
              <w:spacing w:before="120"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0867D7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0867D7" w:rsidRDefault="00F2002E" w:rsidP="00594321">
            <w:pPr>
              <w:suppressAutoHyphens/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0867D7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0867D7" w:rsidRDefault="00F2002E" w:rsidP="00594321">
            <w:pPr>
              <w:suppressAutoHyphens/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0867D7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0867D7" w:rsidRDefault="00F2002E" w:rsidP="00594321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867D7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2693" w:type="dxa"/>
          </w:tcPr>
          <w:p w:rsidR="00F2002E" w:rsidRPr="00382B48" w:rsidRDefault="00F2002E" w:rsidP="00594321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94321" w:rsidRPr="00663A5E" w:rsidRDefault="00594321" w:rsidP="00594321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550621" w:rsidRDefault="00550621" w:rsidP="00550621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Замечания и предложения по итогам заседания Комитета по р</w:t>
      </w:r>
      <w:r w:rsidRPr="00663A5E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екомендациям</w:t>
      </w: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 2019-03-14</w:t>
      </w:r>
    </w:p>
    <w:p w:rsidR="00040E9E" w:rsidRPr="00663A5E" w:rsidRDefault="001E6392" w:rsidP="00E25504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На</w:t>
      </w:r>
      <w:r w:rsidR="00786516" w:rsidRPr="00663A5E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 заседани</w:t>
      </w: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е</w:t>
      </w:r>
      <w:r w:rsidR="00F2002E" w:rsidRPr="00663A5E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 </w:t>
      </w:r>
      <w:r w:rsidR="00382B48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Комитета по р</w:t>
      </w:r>
      <w:r w:rsidR="00BE4BAF" w:rsidRPr="00663A5E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екомендациям </w:t>
      </w:r>
      <w:r w:rsidR="00D27045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2019-04-26</w:t>
      </w:r>
    </w:p>
    <w:p w:rsidR="00382B48" w:rsidRDefault="00382B48" w:rsidP="00BE4BAF">
      <w:pPr>
        <w:suppressAutoHyphens/>
        <w:spacing w:before="240"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7E57" w:rsidRPr="00663A5E" w:rsidRDefault="00327E57" w:rsidP="00594321">
      <w:pPr>
        <w:suppressAutoHyphens/>
        <w:spacing w:before="240" w:after="0"/>
        <w:ind w:firstLine="709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</w:p>
    <w:p w:rsidR="00B5272F" w:rsidRPr="00663A5E" w:rsidRDefault="00D80787" w:rsidP="00327E57">
      <w:pPr>
        <w:suppressAutoHyphens/>
        <w:spacing w:before="240" w:after="0"/>
        <w:ind w:firstLine="567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  <w:r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РЕКОМЕНДАЦИЯ</w:t>
      </w:r>
      <w:r w:rsidR="00BE4BA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 xml:space="preserve"> Р-Х</w:t>
      </w:r>
      <w:r w:rsidR="00B5272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/201</w:t>
      </w:r>
      <w:r w:rsidR="00BE4BA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9</w:t>
      </w:r>
      <w:r w:rsidR="00B5272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-</w:t>
      </w:r>
      <w:r w:rsidR="00BE4BA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КпР</w:t>
      </w:r>
    </w:p>
    <w:p w:rsidR="00861E22" w:rsidRPr="00663A5E" w:rsidRDefault="00861E22" w:rsidP="00327E57">
      <w:pPr>
        <w:suppressAutoHyphens/>
        <w:spacing w:before="240" w:after="0"/>
        <w:ind w:firstLine="567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</w:p>
    <w:p w:rsidR="006E5AD2" w:rsidRPr="00663A5E" w:rsidRDefault="00B4326A" w:rsidP="00E25504">
      <w:pPr>
        <w:suppressAutoHyphens/>
        <w:spacing w:before="240" w:after="0"/>
        <w:ind w:firstLine="709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  <w:r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«</w:t>
      </w:r>
      <w:r w:rsidR="00913F35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АРЕНДНЫЙ ПЛАТЕЖ, ПРИВЯЗАННЫЙ К КАДАСТРОВОЙ СТОИМОСТИ</w:t>
      </w:r>
      <w:r w:rsidR="00BE4BA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 xml:space="preserve">» </w:t>
      </w:r>
    </w:p>
    <w:p w:rsidR="00550621" w:rsidRPr="00E446B0" w:rsidRDefault="00A70834" w:rsidP="00550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Владиславов Георги</w:t>
      </w:r>
    </w:p>
    <w:p w:rsidR="00A70834" w:rsidRPr="00A70834" w:rsidRDefault="00A70834" w:rsidP="00A70834">
      <w:pPr>
        <w:suppressAutoHyphens/>
        <w:ind w:left="-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Департамент</w:t>
      </w:r>
      <w:r w:rsidRPr="00A70834">
        <w:rPr>
          <w:rFonts w:ascii="Times New Roman" w:eastAsia="Times New Roman" w:hAnsi="Times New Roman" w:cs="Times New Roman"/>
          <w:b/>
          <w:sz w:val="24"/>
        </w:rPr>
        <w:t xml:space="preserve"> консолидированной отчетности и </w:t>
      </w:r>
      <w:proofErr w:type="spellStart"/>
      <w:r w:rsidRPr="00A70834">
        <w:rPr>
          <w:rFonts w:ascii="Times New Roman" w:eastAsia="Times New Roman" w:hAnsi="Times New Roman" w:cs="Times New Roman"/>
          <w:b/>
          <w:sz w:val="24"/>
        </w:rPr>
        <w:t>методологииПАО</w:t>
      </w:r>
      <w:proofErr w:type="spellEnd"/>
      <w:r w:rsidRPr="00A70834">
        <w:rPr>
          <w:rFonts w:ascii="Times New Roman" w:eastAsia="Times New Roman" w:hAnsi="Times New Roman" w:cs="Times New Roman"/>
          <w:b/>
          <w:sz w:val="24"/>
        </w:rPr>
        <w:t xml:space="preserve"> «НК «Роснефть»</w:t>
      </w:r>
    </w:p>
    <w:p w:rsidR="00B65B11" w:rsidRPr="00550621" w:rsidRDefault="00B65B11" w:rsidP="001416D9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834" w:rsidRPr="00A70834" w:rsidRDefault="00A70834" w:rsidP="00A70834">
      <w:pPr>
        <w:pStyle w:val="af9"/>
        <w:shd w:val="clear" w:color="auto" w:fill="FFFFFF"/>
        <w:jc w:val="both"/>
      </w:pPr>
      <w:r w:rsidRPr="00A70834">
        <w:t xml:space="preserve">Рекомендацию для всеобщего применения нельзя строить на аргументе, что кадастровая стоимость не является рыночной.  </w:t>
      </w:r>
      <w:proofErr w:type="gramStart"/>
      <w:r w:rsidRPr="00A70834">
        <w:t>В каких-то случаях она может совпадать с рынком, в каких-то – нет.</w:t>
      </w:r>
      <w:proofErr w:type="gramEnd"/>
      <w:r w:rsidRPr="00A70834">
        <w:t>  При этом предусмотренные законодательством механизмы изменения к</w:t>
      </w:r>
      <w:r w:rsidRPr="00A70834">
        <w:t>а</w:t>
      </w:r>
      <w:r w:rsidRPr="00A70834">
        <w:t>дастровой стоимости направлены на ее приведение к рыночным уровням. </w:t>
      </w:r>
    </w:p>
    <w:p w:rsidR="00A70834" w:rsidRPr="00A70834" w:rsidRDefault="00A70834" w:rsidP="00A70834">
      <w:pPr>
        <w:pStyle w:val="af9"/>
        <w:shd w:val="clear" w:color="auto" w:fill="FFFFFF"/>
        <w:jc w:val="both"/>
      </w:pPr>
      <w:r w:rsidRPr="00A70834">
        <w:t>Кроме того, имущество, сдаваемое в аренду на базе кадастровой стоимости, образует о</w:t>
      </w:r>
      <w:r w:rsidRPr="00A70834">
        <w:t>г</w:t>
      </w:r>
      <w:r w:rsidRPr="00A70834">
        <w:t>ромный сегмент рынка аренды.  В силу этого установленная кадастровая стоимость может сама по себе существенно влиять на рыночные ставки аренды. </w:t>
      </w:r>
    </w:p>
    <w:p w:rsidR="00A70834" w:rsidRPr="00A70834" w:rsidRDefault="00A70834" w:rsidP="00A70834">
      <w:pPr>
        <w:pStyle w:val="af9"/>
        <w:shd w:val="clear" w:color="auto" w:fill="FFFFFF"/>
        <w:jc w:val="both"/>
      </w:pPr>
      <w:proofErr w:type="gramStart"/>
      <w:r w:rsidRPr="00A70834">
        <w:t>В тех случаях, когда организация-арендатор при поддержке своего аудитора квалифиц</w:t>
      </w:r>
      <w:r w:rsidRPr="00A70834">
        <w:t>и</w:t>
      </w:r>
      <w:r w:rsidRPr="00A70834">
        <w:t>ровала арендные платежи как «переменные арендные платежи, которые НЕ зависят от и</w:t>
      </w:r>
      <w:r w:rsidRPr="00A70834">
        <w:t>н</w:t>
      </w:r>
      <w:r w:rsidRPr="00A70834">
        <w:t>декса или ставки», аргументом служил не сам факт использования кадастровой стоимости в качестве базы, а возможность арендодателя произвольно менять арендные ставки (напр. посредством применения коэффициентов к кадастровой стоимости при расчете арендной платы).</w:t>
      </w:r>
      <w:proofErr w:type="gramEnd"/>
      <w:r w:rsidRPr="00A70834">
        <w:t>  При этом следует учитывать практику арендатора по оспариванию подобного произвола, в т.ч. судебную.</w:t>
      </w:r>
    </w:p>
    <w:p w:rsidR="00A70834" w:rsidRPr="00A70834" w:rsidRDefault="00A70834" w:rsidP="00A70834">
      <w:pPr>
        <w:pStyle w:val="af9"/>
        <w:shd w:val="clear" w:color="auto" w:fill="FFFFFF"/>
        <w:jc w:val="both"/>
      </w:pPr>
      <w:proofErr w:type="gramStart"/>
      <w:r w:rsidRPr="00A70834">
        <w:t>Таким образом, вывод о наличии «переменных арендных платежей, которые не зависят от индекса или ставки» можно основывать только на анализе конкретных договоров и сл</w:t>
      </w:r>
      <w:r w:rsidRPr="00A70834">
        <w:t>о</w:t>
      </w:r>
      <w:r w:rsidRPr="00A70834">
        <w:t>жившейся практики арендодателя (напр. муниципальных органов) по определению дог</w:t>
      </w:r>
      <w:r w:rsidRPr="00A70834">
        <w:t>о</w:t>
      </w:r>
      <w:r w:rsidRPr="00A70834">
        <w:t>ворных условий при сдаче имущества в аренду, а также возможности арендатора по огр</w:t>
      </w:r>
      <w:r w:rsidRPr="00A70834">
        <w:t>а</w:t>
      </w:r>
      <w:r w:rsidRPr="00A70834">
        <w:t>ничению произвольного изменения арендных ставок со стороны арендодателя. </w:t>
      </w:r>
      <w:proofErr w:type="gramEnd"/>
    </w:p>
    <w:p w:rsidR="00A70834" w:rsidRDefault="00A70834" w:rsidP="00A70834">
      <w:pPr>
        <w:pStyle w:val="af9"/>
        <w:shd w:val="clear" w:color="auto" w:fill="FFFFFF"/>
        <w:jc w:val="both"/>
      </w:pPr>
      <w:r w:rsidRPr="00A70834">
        <w:t>С учетом этого:</w:t>
      </w:r>
    </w:p>
    <w:p w:rsidR="00A70834" w:rsidRDefault="00A70834" w:rsidP="00A70834">
      <w:pPr>
        <w:pStyle w:val="af9"/>
        <w:shd w:val="clear" w:color="auto" w:fill="FFFFFF"/>
        <w:jc w:val="both"/>
      </w:pPr>
      <w:r w:rsidRPr="00A70834">
        <w:t>- Проект Решения 1 неприемлемо – нельзя утверждать, что «Арендный платеж, рассчит</w:t>
      </w:r>
      <w:r w:rsidRPr="00A70834">
        <w:t>ы</w:t>
      </w:r>
      <w:r w:rsidRPr="00A70834">
        <w:t>ваемый на основе кадастровой стоимости» во всех случаях «НЕ подлежит включению в признаваемое арендное обязательство»</w:t>
      </w:r>
    </w:p>
    <w:p w:rsidR="00A70834" w:rsidRPr="00A70834" w:rsidRDefault="00A70834" w:rsidP="00A70834">
      <w:pPr>
        <w:pStyle w:val="af9"/>
        <w:shd w:val="clear" w:color="auto" w:fill="FFFFFF"/>
        <w:jc w:val="both"/>
      </w:pPr>
      <w:r w:rsidRPr="00A70834">
        <w:lastRenderedPageBreak/>
        <w:t>- формулировку решения, предложенную ПАО "ГМК "Норильский никель" можно взять за основу проработки вместо Решений 1 и 2 в текущем проекте. При этом лучше разве</w:t>
      </w:r>
      <w:r w:rsidRPr="00A70834">
        <w:t>р</w:t>
      </w:r>
      <w:r w:rsidRPr="00A70834">
        <w:t>нуть наоборот, т.к. исключение из арендного обязательства следует доказывать:</w:t>
      </w:r>
    </w:p>
    <w:p w:rsidR="00A70834" w:rsidRPr="00A70834" w:rsidRDefault="00A70834" w:rsidP="00A70834">
      <w:pPr>
        <w:pStyle w:val="af9"/>
        <w:shd w:val="clear" w:color="auto" w:fill="FFFFFF"/>
        <w:jc w:val="both"/>
      </w:pPr>
      <w:r w:rsidRPr="00A70834">
        <w:t>«Арендный платеж, рассчитываемый на основе кадастровой стоимости, НЕ подлежит включению в признаваемое арендное обязательство в случае, если изменение кадастровой стоимости и коэффициентов НЕ представляет собой изменение, варьирующееся в завис</w:t>
      </w:r>
      <w:r w:rsidRPr="00A70834">
        <w:t>и</w:t>
      </w:r>
      <w:r w:rsidRPr="00A70834">
        <w:t>мости от изменений рыночных арендных ставок</w:t>
      </w:r>
      <w:proofErr w:type="gramStart"/>
      <w:r w:rsidRPr="00A70834">
        <w:t>.» </w:t>
      </w:r>
      <w:proofErr w:type="gramEnd"/>
    </w:p>
    <w:p w:rsidR="00A70834" w:rsidRPr="00A70834" w:rsidRDefault="00A70834" w:rsidP="00A70834">
      <w:pPr>
        <w:pStyle w:val="af9"/>
        <w:shd w:val="clear" w:color="auto" w:fill="FFFFFF"/>
        <w:jc w:val="both"/>
      </w:pPr>
      <w:r w:rsidRPr="00A70834">
        <w:t>2.       Арендатор должен рассмотреть требования IFRS 16 п.27 (</w:t>
      </w:r>
      <w:proofErr w:type="spellStart"/>
      <w:r w:rsidRPr="00A70834">
        <w:t>a</w:t>
      </w:r>
      <w:proofErr w:type="spellEnd"/>
      <w:r w:rsidRPr="00A70834">
        <w:t>)  на предмет наличия «по существу фиксированные платежи, как описано в пункте B42»:</w:t>
      </w:r>
    </w:p>
    <w:p w:rsidR="00A70834" w:rsidRPr="00A70834" w:rsidRDefault="00A70834" w:rsidP="00A70834">
      <w:pPr>
        <w:pStyle w:val="af9"/>
        <w:shd w:val="clear" w:color="auto" w:fill="FFFFFF"/>
        <w:spacing w:before="0" w:beforeAutospacing="0" w:after="0" w:afterAutospacing="0"/>
        <w:jc w:val="both"/>
      </w:pPr>
      <w:r w:rsidRPr="00A70834">
        <w:t>B42 Арендные платежи включают в себя по существу фиксированные арендные плат</w:t>
      </w:r>
      <w:r w:rsidRPr="00A70834">
        <w:t>е</w:t>
      </w:r>
      <w:r w:rsidRPr="00A70834">
        <w:t>жи. По существу фиксированные арендные платежи – это платежи, которые могут по св</w:t>
      </w:r>
      <w:r w:rsidRPr="00A70834">
        <w:t>о</w:t>
      </w:r>
      <w:r w:rsidRPr="00A70834">
        <w:t>ей форме предусматривать вариативность, но которые по существу являются неизбежн</w:t>
      </w:r>
      <w:r w:rsidRPr="00A70834">
        <w:t>ы</w:t>
      </w:r>
      <w:r w:rsidRPr="00A70834">
        <w:t>ми. По существу фиксированные арендные платежи имеют место, например, в следующих случаях:</w:t>
      </w:r>
    </w:p>
    <w:p w:rsidR="00A70834" w:rsidRPr="00A70834" w:rsidRDefault="00A70834" w:rsidP="00A70834">
      <w:pPr>
        <w:pStyle w:val="af9"/>
        <w:shd w:val="clear" w:color="auto" w:fill="FFFFFF"/>
        <w:spacing w:before="0" w:beforeAutospacing="0" w:after="0" w:afterAutospacing="0"/>
        <w:jc w:val="both"/>
      </w:pPr>
      <w:r w:rsidRPr="00A70834">
        <w:t>(</w:t>
      </w:r>
      <w:proofErr w:type="spellStart"/>
      <w:r w:rsidRPr="00A70834">
        <w:t>a</w:t>
      </w:r>
      <w:proofErr w:type="spellEnd"/>
      <w:r w:rsidRPr="00A70834">
        <w:t>) платежи структурированы как переменные арендные платежи, но при этом для таких платежей не характерна истинная вариативность. Такие платежи содержат переменные условия, которые не имеют реального экономического содержания. К примерам таких в</w:t>
      </w:r>
      <w:r w:rsidRPr="00A70834">
        <w:t>и</w:t>
      </w:r>
      <w:r w:rsidRPr="00A70834">
        <w:t>дов платежей относятся:</w:t>
      </w:r>
    </w:p>
    <w:p w:rsidR="00A70834" w:rsidRPr="00A70834" w:rsidRDefault="00A70834" w:rsidP="00A70834">
      <w:pPr>
        <w:pStyle w:val="af9"/>
        <w:shd w:val="clear" w:color="auto" w:fill="FFFFFF"/>
        <w:ind w:left="708"/>
        <w:jc w:val="both"/>
      </w:pPr>
      <w:r w:rsidRPr="00A70834">
        <w:t>(</w:t>
      </w:r>
      <w:proofErr w:type="spellStart"/>
      <w:r w:rsidRPr="00A70834">
        <w:t>i</w:t>
      </w:r>
      <w:proofErr w:type="spellEnd"/>
      <w:r w:rsidRPr="00A70834">
        <w:t>) платежи, которые должны быть осуществлены исключительно тогда, когда б</w:t>
      </w:r>
      <w:r w:rsidRPr="00A70834">
        <w:t>у</w:t>
      </w:r>
      <w:r w:rsidRPr="00A70834">
        <w:t>дет доказано, что актив может эксплуатироваться в течение срока действия догов</w:t>
      </w:r>
      <w:r w:rsidRPr="00A70834">
        <w:t>о</w:t>
      </w:r>
      <w:r w:rsidRPr="00A70834">
        <w:t>ра аренды, либо исключительно тогда, когда наступит событие, истинная вероя</w:t>
      </w:r>
      <w:r w:rsidRPr="00A70834">
        <w:t>т</w:t>
      </w:r>
      <w:r w:rsidRPr="00A70834">
        <w:t xml:space="preserve">ность </w:t>
      </w:r>
      <w:proofErr w:type="spellStart"/>
      <w:r w:rsidRPr="00A70834">
        <w:t>ненаступления</w:t>
      </w:r>
      <w:proofErr w:type="spellEnd"/>
      <w:r w:rsidRPr="00A70834">
        <w:t xml:space="preserve"> которого отсутствует; либо</w:t>
      </w:r>
    </w:p>
    <w:p w:rsidR="00A70834" w:rsidRPr="00A70834" w:rsidRDefault="00A70834" w:rsidP="00A70834">
      <w:pPr>
        <w:pStyle w:val="af9"/>
        <w:shd w:val="clear" w:color="auto" w:fill="FFFFFF"/>
        <w:ind w:left="708"/>
        <w:jc w:val="both"/>
      </w:pPr>
      <w:r w:rsidRPr="00A70834">
        <w:t>(</w:t>
      </w:r>
      <w:proofErr w:type="spellStart"/>
      <w:r w:rsidRPr="00A70834">
        <w:t>ii</w:t>
      </w:r>
      <w:proofErr w:type="spellEnd"/>
      <w:r w:rsidRPr="00A70834">
        <w:t>) платежи, которые изначально структурированы как переменные арендные пл</w:t>
      </w:r>
      <w:r w:rsidRPr="00A70834">
        <w:t>а</w:t>
      </w:r>
      <w:r w:rsidRPr="00A70834">
        <w:t>тежи, привязанные к использованию базового актива, но для которых вариати</w:t>
      </w:r>
      <w:r w:rsidRPr="00A70834">
        <w:t>в</w:t>
      </w:r>
      <w:r w:rsidRPr="00A70834">
        <w:t>ность будет устранена в определенный момент после даты начала аренды, в резул</w:t>
      </w:r>
      <w:r w:rsidRPr="00A70834">
        <w:t>ь</w:t>
      </w:r>
      <w:r w:rsidRPr="00A70834">
        <w:t>тате чего платежи станут фиксированными в течение оставшегося срока аренды. Такие платежи становятся по существу фиксированными платежами, когда устр</w:t>
      </w:r>
      <w:r w:rsidRPr="00A70834">
        <w:t>а</w:t>
      </w:r>
      <w:r w:rsidRPr="00A70834">
        <w:t>няется вариативность;</w:t>
      </w:r>
    </w:p>
    <w:p w:rsidR="00A70834" w:rsidRPr="00A70834" w:rsidRDefault="00A70834" w:rsidP="00A70834">
      <w:pPr>
        <w:pStyle w:val="af9"/>
        <w:shd w:val="clear" w:color="auto" w:fill="FFFFFF"/>
        <w:spacing w:before="0" w:beforeAutospacing="0" w:after="0" w:afterAutospacing="0"/>
        <w:jc w:val="both"/>
      </w:pPr>
      <w:r w:rsidRPr="00A70834">
        <w:t>(</w:t>
      </w:r>
      <w:proofErr w:type="spellStart"/>
      <w:r w:rsidRPr="00A70834">
        <w:t>b</w:t>
      </w:r>
      <w:proofErr w:type="spellEnd"/>
      <w:r w:rsidRPr="00A70834">
        <w:t>) наличие нескольких групп платежей, которые арендатор мог бы осуществить, при этом лишь одна из таких групп платежей является реалистичной. В этом случае организация должна считать реалистичную группу платежей арендными платежами;</w:t>
      </w:r>
    </w:p>
    <w:p w:rsidR="00A70834" w:rsidRPr="00A70834" w:rsidRDefault="00A70834" w:rsidP="00A70834">
      <w:pPr>
        <w:pStyle w:val="af9"/>
        <w:shd w:val="clear" w:color="auto" w:fill="FFFFFF"/>
        <w:spacing w:before="0" w:beforeAutospacing="0" w:after="0" w:afterAutospacing="0"/>
        <w:jc w:val="both"/>
      </w:pPr>
      <w:r w:rsidRPr="00A70834">
        <w:t>(</w:t>
      </w:r>
      <w:proofErr w:type="spellStart"/>
      <w:r w:rsidRPr="00A70834">
        <w:t>c</w:t>
      </w:r>
      <w:proofErr w:type="spellEnd"/>
      <w:r w:rsidRPr="00A70834">
        <w:t>) наличие нескольких реалистичных групп платежей, которые арендатор мог бы осущ</w:t>
      </w:r>
      <w:r w:rsidRPr="00A70834">
        <w:t>е</w:t>
      </w:r>
      <w:r w:rsidRPr="00A70834">
        <w:t>ствить, при этом он должен совершить как минимум одну из таких групп платежей. В этом случае организация должна считать группу платежей, которая агрегируется до на</w:t>
      </w:r>
      <w:r w:rsidRPr="00A70834">
        <w:t>и</w:t>
      </w:r>
      <w:r w:rsidRPr="00A70834">
        <w:t>меньшей суммы (на дисконтированной основе), арендными платежами.</w:t>
      </w:r>
    </w:p>
    <w:p w:rsidR="00A70834" w:rsidRPr="00A70834" w:rsidRDefault="00A70834" w:rsidP="00A70834">
      <w:pPr>
        <w:pStyle w:val="af9"/>
        <w:shd w:val="clear" w:color="auto" w:fill="FFFFFF"/>
        <w:spacing w:before="0" w:beforeAutospacing="0" w:after="0" w:afterAutospacing="0"/>
        <w:jc w:val="both"/>
      </w:pPr>
      <w:r w:rsidRPr="00A70834">
        <w:t> </w:t>
      </w:r>
    </w:p>
    <w:p w:rsidR="00A70834" w:rsidRPr="00A70834" w:rsidRDefault="00A70834" w:rsidP="00A70834">
      <w:pPr>
        <w:pStyle w:val="af9"/>
        <w:shd w:val="clear" w:color="auto" w:fill="FFFFFF"/>
        <w:spacing w:before="0" w:beforeAutospacing="0" w:after="0" w:afterAutospacing="0"/>
        <w:jc w:val="both"/>
      </w:pPr>
      <w:r w:rsidRPr="00A70834">
        <w:t>                Можно предположить, что в ряде случаев текущий уровень арендных платежей «по существу будет являться неизбежным», т.к. снижение арендных ставок маловероятно – и такие платежи следует включить в арендное обязательство.</w:t>
      </w:r>
    </w:p>
    <w:p w:rsidR="00B65B11" w:rsidRPr="00550621" w:rsidRDefault="00B65B11" w:rsidP="00550621">
      <w:pPr>
        <w:pStyle w:val="af9"/>
        <w:shd w:val="clear" w:color="auto" w:fill="FFFFFF"/>
        <w:spacing w:before="0" w:beforeAutospacing="0" w:after="0" w:afterAutospacing="0"/>
        <w:contextualSpacing/>
        <w:jc w:val="both"/>
      </w:pPr>
      <w:r w:rsidRPr="00550621">
        <w:t> </w:t>
      </w:r>
    </w:p>
    <w:sectPr w:rsidR="00B65B11" w:rsidRPr="00550621" w:rsidSect="00A708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45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86" w:rsidRDefault="004C5786" w:rsidP="003F7FE8">
      <w:pPr>
        <w:spacing w:after="0" w:line="240" w:lineRule="auto"/>
      </w:pPr>
      <w:r>
        <w:separator/>
      </w:r>
    </w:p>
  </w:endnote>
  <w:endnote w:type="continuationSeparator" w:id="0">
    <w:p w:rsidR="004C5786" w:rsidRDefault="004C5786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224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504" w:rsidRPr="00E91571" w:rsidRDefault="000913F5">
        <w:pPr>
          <w:pStyle w:val="af7"/>
          <w:jc w:val="right"/>
          <w:rPr>
            <w:rFonts w:ascii="Times New Roman" w:hAnsi="Times New Roman" w:cs="Times New Roman"/>
          </w:rPr>
        </w:pPr>
        <w:r w:rsidRPr="00E91571">
          <w:rPr>
            <w:rFonts w:ascii="Times New Roman" w:hAnsi="Times New Roman" w:cs="Times New Roman"/>
          </w:rPr>
          <w:fldChar w:fldCharType="begin"/>
        </w:r>
        <w:r w:rsidR="00324504" w:rsidRPr="00E91571">
          <w:rPr>
            <w:rFonts w:ascii="Times New Roman" w:hAnsi="Times New Roman" w:cs="Times New Roman"/>
          </w:rPr>
          <w:instrText>PAGE   \* MERGEFORMAT</w:instrText>
        </w:r>
        <w:r w:rsidRPr="00E91571">
          <w:rPr>
            <w:rFonts w:ascii="Times New Roman" w:hAnsi="Times New Roman" w:cs="Times New Roman"/>
          </w:rPr>
          <w:fldChar w:fldCharType="separate"/>
        </w:r>
        <w:r w:rsidR="00E90F2A">
          <w:rPr>
            <w:rFonts w:ascii="Times New Roman" w:hAnsi="Times New Roman" w:cs="Times New Roman"/>
            <w:noProof/>
          </w:rPr>
          <w:t>2</w:t>
        </w:r>
        <w:r w:rsidRPr="00E91571">
          <w:rPr>
            <w:rFonts w:ascii="Times New Roman" w:hAnsi="Times New Roman" w:cs="Times New Roman"/>
          </w:rPr>
          <w:fldChar w:fldCharType="end"/>
        </w:r>
      </w:p>
    </w:sdtContent>
  </w:sdt>
  <w:p w:rsidR="00324504" w:rsidRDefault="0032450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928442"/>
      <w:docPartObj>
        <w:docPartGallery w:val="Page Numbers (Bottom of Page)"/>
        <w:docPartUnique/>
      </w:docPartObj>
    </w:sdtPr>
    <w:sdtContent>
      <w:p w:rsidR="00324504" w:rsidRDefault="000913F5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847578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86" w:rsidRDefault="004C5786" w:rsidP="003F7FE8">
      <w:pPr>
        <w:spacing w:after="0" w:line="240" w:lineRule="auto"/>
      </w:pPr>
      <w:r>
        <w:separator/>
      </w:r>
    </w:p>
  </w:footnote>
  <w:footnote w:type="continuationSeparator" w:id="0">
    <w:p w:rsidR="004C5786" w:rsidRDefault="004C5786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4" w:rsidRDefault="00324504">
    <w:pPr>
      <w:pStyle w:val="af5"/>
      <w:jc w:val="center"/>
      <w:rPr>
        <w:rFonts w:ascii="Times New Roman CYR" w:hAnsi="Times New Roman CYR"/>
        <w:sz w:val="28"/>
      </w:rPr>
    </w:pPr>
  </w:p>
  <w:p w:rsidR="00327E57" w:rsidRPr="00CE0181" w:rsidRDefault="00327E57">
    <w:pPr>
      <w:pStyle w:val="af5"/>
      <w:jc w:val="center"/>
      <w:rPr>
        <w:rFonts w:ascii="Times New Roman CYR" w:hAnsi="Times New Roman CYR"/>
        <w:sz w:val="28"/>
      </w:rPr>
    </w:pPr>
  </w:p>
  <w:p w:rsidR="00324504" w:rsidRDefault="00847578">
    <w:pPr>
      <w:pStyle w:val="af5"/>
      <w:rPr>
        <w:rFonts w:ascii="Times New Roman CYR" w:hAnsi="Times New Roman CYR"/>
        <w:sz w:val="28"/>
      </w:rPr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21" name="Рисунок 2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E57" w:rsidRPr="00CE0181" w:rsidRDefault="00327E57">
    <w:pPr>
      <w:pStyle w:val="af5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B5272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678FC"/>
    <w:multiLevelType w:val="hybridMultilevel"/>
    <w:tmpl w:val="914EC0BE"/>
    <w:lvl w:ilvl="0" w:tplc="2CDE9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C65332"/>
    <w:multiLevelType w:val="multilevel"/>
    <w:tmpl w:val="DBAC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E1830"/>
    <w:multiLevelType w:val="multilevel"/>
    <w:tmpl w:val="516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96CFD"/>
    <w:multiLevelType w:val="multilevel"/>
    <w:tmpl w:val="C99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19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2"/>
  </w:num>
  <w:num w:numId="16">
    <w:abstractNumId w:val="10"/>
  </w:num>
  <w:num w:numId="17">
    <w:abstractNumId w:val="3"/>
  </w:num>
  <w:num w:numId="18">
    <w:abstractNumId w:val="11"/>
  </w:num>
  <w:num w:numId="19">
    <w:abstractNumId w:val="16"/>
  </w:num>
  <w:num w:numId="20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175C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807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879"/>
    <w:rsid w:val="00084E88"/>
    <w:rsid w:val="00084FB0"/>
    <w:rsid w:val="00085253"/>
    <w:rsid w:val="000852D1"/>
    <w:rsid w:val="00085932"/>
    <w:rsid w:val="000867D7"/>
    <w:rsid w:val="00086AF4"/>
    <w:rsid w:val="00087766"/>
    <w:rsid w:val="0009012F"/>
    <w:rsid w:val="0009069B"/>
    <w:rsid w:val="000913F5"/>
    <w:rsid w:val="00091B0A"/>
    <w:rsid w:val="000927A1"/>
    <w:rsid w:val="00093C60"/>
    <w:rsid w:val="00094C84"/>
    <w:rsid w:val="00095AC8"/>
    <w:rsid w:val="000A08CD"/>
    <w:rsid w:val="000A18C5"/>
    <w:rsid w:val="000A294A"/>
    <w:rsid w:val="000A502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10A9"/>
    <w:rsid w:val="000E12BB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6D9"/>
    <w:rsid w:val="001417F8"/>
    <w:rsid w:val="0014257A"/>
    <w:rsid w:val="00144CFD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67EF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C7434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52E1"/>
    <w:rsid w:val="001E6392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5D59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3D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9DA"/>
    <w:rsid w:val="00291B14"/>
    <w:rsid w:val="00291CB2"/>
    <w:rsid w:val="00292664"/>
    <w:rsid w:val="00292AEE"/>
    <w:rsid w:val="002930FB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30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5EB2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464B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203"/>
    <w:rsid w:val="00326756"/>
    <w:rsid w:val="0032676B"/>
    <w:rsid w:val="003277CE"/>
    <w:rsid w:val="00327E57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6404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2B48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62B3"/>
    <w:rsid w:val="00417CC1"/>
    <w:rsid w:val="004207F6"/>
    <w:rsid w:val="00422E72"/>
    <w:rsid w:val="00423200"/>
    <w:rsid w:val="00423A35"/>
    <w:rsid w:val="00424A18"/>
    <w:rsid w:val="00424D92"/>
    <w:rsid w:val="00425722"/>
    <w:rsid w:val="004260DF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0B76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79C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C17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786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67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0621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153B"/>
    <w:rsid w:val="00572752"/>
    <w:rsid w:val="00572DED"/>
    <w:rsid w:val="005733D2"/>
    <w:rsid w:val="005740F3"/>
    <w:rsid w:val="00574266"/>
    <w:rsid w:val="00575BD1"/>
    <w:rsid w:val="00580C33"/>
    <w:rsid w:val="005823EB"/>
    <w:rsid w:val="00583EB5"/>
    <w:rsid w:val="00585150"/>
    <w:rsid w:val="00585665"/>
    <w:rsid w:val="005856CB"/>
    <w:rsid w:val="005900CC"/>
    <w:rsid w:val="00590838"/>
    <w:rsid w:val="005931BB"/>
    <w:rsid w:val="005940AD"/>
    <w:rsid w:val="00594321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5E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7F4"/>
    <w:rsid w:val="00685A4B"/>
    <w:rsid w:val="00687B90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5EF"/>
    <w:rsid w:val="006C4AF0"/>
    <w:rsid w:val="006C5C64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3763B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516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5DFB"/>
    <w:rsid w:val="007B67E7"/>
    <w:rsid w:val="007B6E0D"/>
    <w:rsid w:val="007B724A"/>
    <w:rsid w:val="007B7506"/>
    <w:rsid w:val="007C02FB"/>
    <w:rsid w:val="007C25C8"/>
    <w:rsid w:val="007C29FF"/>
    <w:rsid w:val="007C409C"/>
    <w:rsid w:val="007C53A4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040C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78"/>
    <w:rsid w:val="008475EA"/>
    <w:rsid w:val="00847B99"/>
    <w:rsid w:val="00847E40"/>
    <w:rsid w:val="0085271F"/>
    <w:rsid w:val="008528D4"/>
    <w:rsid w:val="00852BE6"/>
    <w:rsid w:val="00853193"/>
    <w:rsid w:val="00856882"/>
    <w:rsid w:val="00860693"/>
    <w:rsid w:val="008614DD"/>
    <w:rsid w:val="00861E22"/>
    <w:rsid w:val="00864136"/>
    <w:rsid w:val="00864DC1"/>
    <w:rsid w:val="00865ABD"/>
    <w:rsid w:val="008660B3"/>
    <w:rsid w:val="008668B5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00D"/>
    <w:rsid w:val="008A1140"/>
    <w:rsid w:val="008A1379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10E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3F35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4FED"/>
    <w:rsid w:val="00935492"/>
    <w:rsid w:val="0093634F"/>
    <w:rsid w:val="00936366"/>
    <w:rsid w:val="009400D9"/>
    <w:rsid w:val="0094021D"/>
    <w:rsid w:val="00940DEE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139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1EEF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4BDE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9F69AB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26AA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9D7"/>
    <w:rsid w:val="00A64A11"/>
    <w:rsid w:val="00A65692"/>
    <w:rsid w:val="00A6658C"/>
    <w:rsid w:val="00A70834"/>
    <w:rsid w:val="00A71885"/>
    <w:rsid w:val="00A731E8"/>
    <w:rsid w:val="00A73B65"/>
    <w:rsid w:val="00A7428B"/>
    <w:rsid w:val="00A749C4"/>
    <w:rsid w:val="00A74AD7"/>
    <w:rsid w:val="00A74D18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3110"/>
    <w:rsid w:val="00A95E6C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4B6C"/>
    <w:rsid w:val="00B64D77"/>
    <w:rsid w:val="00B65B11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A6AC8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4BAF"/>
    <w:rsid w:val="00BE5975"/>
    <w:rsid w:val="00BE5E09"/>
    <w:rsid w:val="00BE5EDC"/>
    <w:rsid w:val="00BE733F"/>
    <w:rsid w:val="00BE7434"/>
    <w:rsid w:val="00BE7509"/>
    <w:rsid w:val="00BE7D8A"/>
    <w:rsid w:val="00BF3241"/>
    <w:rsid w:val="00BF3273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029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65A9B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045"/>
    <w:rsid w:val="00D2725C"/>
    <w:rsid w:val="00D31113"/>
    <w:rsid w:val="00D3148B"/>
    <w:rsid w:val="00D31B31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A7A72"/>
    <w:rsid w:val="00DB020E"/>
    <w:rsid w:val="00DB1FF1"/>
    <w:rsid w:val="00DB2026"/>
    <w:rsid w:val="00DB3BA9"/>
    <w:rsid w:val="00DB3CD4"/>
    <w:rsid w:val="00DB3E3A"/>
    <w:rsid w:val="00DB5961"/>
    <w:rsid w:val="00DB6DFF"/>
    <w:rsid w:val="00DB6F35"/>
    <w:rsid w:val="00DB7110"/>
    <w:rsid w:val="00DC0B3D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592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5504"/>
    <w:rsid w:val="00E264C9"/>
    <w:rsid w:val="00E27292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0F2A"/>
    <w:rsid w:val="00E91571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3568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04E8"/>
    <w:rsid w:val="00FC1B14"/>
    <w:rsid w:val="00FC1E7C"/>
    <w:rsid w:val="00FC2497"/>
    <w:rsid w:val="00FC46B7"/>
    <w:rsid w:val="00FC4828"/>
    <w:rsid w:val="00FC65E8"/>
    <w:rsid w:val="00FC6AA1"/>
    <w:rsid w:val="00FC6E29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162B3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styleId="aff">
    <w:name w:val="Placeholder Text"/>
    <w:basedOn w:val="a3"/>
    <w:uiPriority w:val="99"/>
    <w:semiHidden/>
    <w:rsid w:val="00507671"/>
    <w:rPr>
      <w:color w:val="808080"/>
    </w:rPr>
  </w:style>
  <w:style w:type="character" w:customStyle="1" w:styleId="searchmatch">
    <w:name w:val="search_match"/>
    <w:basedOn w:val="a3"/>
    <w:rsid w:val="006C45EF"/>
  </w:style>
  <w:style w:type="character" w:customStyle="1" w:styleId="inlinewhereami">
    <w:name w:val="inlinewhereami"/>
    <w:basedOn w:val="a3"/>
    <w:rsid w:val="007B5DFB"/>
  </w:style>
  <w:style w:type="character" w:customStyle="1" w:styleId="wmi-callto">
    <w:name w:val="wmi-callto"/>
    <w:basedOn w:val="a3"/>
    <w:rsid w:val="00B65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2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5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8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6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1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5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8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3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3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3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2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1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9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6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0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2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4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0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1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4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1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5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3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7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9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5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76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6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4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8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2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1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5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4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6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0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0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7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6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8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8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0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6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7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6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8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3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7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6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9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9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6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8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1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3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2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54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6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70658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6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2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6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6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9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8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3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1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4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0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9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3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8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200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6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3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2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2423-39F0-4237-B858-0ABD9872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3</cp:revision>
  <cp:lastPrinted>2017-11-03T09:34:00Z</cp:lastPrinted>
  <dcterms:created xsi:type="dcterms:W3CDTF">2019-04-25T16:09:00Z</dcterms:created>
  <dcterms:modified xsi:type="dcterms:W3CDTF">2019-05-13T12:33:00Z</dcterms:modified>
</cp:coreProperties>
</file>