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10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995"/>
      </w:tblGrid>
      <w:tr w:rsidR="00F2002E" w:rsidRPr="007E29C1" w:rsidTr="007F450F">
        <w:tc>
          <w:tcPr>
            <w:tcW w:w="6663" w:type="dxa"/>
          </w:tcPr>
          <w:p w:rsidR="00F2002E" w:rsidRPr="007E29C1" w:rsidRDefault="00F2002E" w:rsidP="007F450F">
            <w:pPr>
              <w:spacing w:before="120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ФОНД «НАЦИОНАЛЬНЫЙ НЕГОСУДАРСТВЕННЫЙ</w:t>
            </w:r>
          </w:p>
          <w:p w:rsidR="00F2002E" w:rsidRPr="007E29C1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РЕГУЛЯТОР  БУХГАЛТЕРСКОГО  УЧЕТА</w:t>
            </w:r>
          </w:p>
          <w:p w:rsidR="00F2002E" w:rsidRPr="007E29C1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«БУХГАЛТЕРСКИЙ МЕТОДОЛОГИЧЕСКИЙ ЦЕНТР»</w:t>
            </w:r>
          </w:p>
          <w:p w:rsidR="00F2002E" w:rsidRPr="007E29C1" w:rsidRDefault="00F2002E" w:rsidP="007F450F">
            <w:pPr>
              <w:rPr>
                <w:rFonts w:ascii="Times New Roman" w:hAnsi="Times New Roman" w:cs="Times New Roman"/>
                <w:sz w:val="18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(ФОНД «НРБУ «БМЦ»)</w:t>
            </w:r>
          </w:p>
        </w:tc>
        <w:tc>
          <w:tcPr>
            <w:tcW w:w="3995" w:type="dxa"/>
          </w:tcPr>
          <w:p w:rsidR="00F2002E" w:rsidRPr="007E29C1" w:rsidRDefault="00F2002E" w:rsidP="007F450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2002E" w:rsidRPr="007E29C1" w:rsidRDefault="00F2002E" w:rsidP="00F2002E">
      <w:pPr>
        <w:pStyle w:val="afd"/>
        <w:tabs>
          <w:tab w:val="left" w:pos="2268"/>
          <w:tab w:val="left" w:pos="2552"/>
        </w:tabs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E29C1">
        <w:rPr>
          <w:rFonts w:ascii="Times New Roman" w:hAnsi="Times New Roman"/>
          <w:b w:val="0"/>
          <w:color w:val="auto"/>
          <w:sz w:val="28"/>
          <w:szCs w:val="28"/>
        </w:rPr>
        <w:t>Разработан</w:t>
      </w:r>
      <w:r w:rsidR="00563A31">
        <w:rPr>
          <w:rFonts w:ascii="Times New Roman" w:hAnsi="Times New Roman"/>
          <w:b w:val="0"/>
          <w:color w:val="auto"/>
          <w:sz w:val="28"/>
          <w:szCs w:val="28"/>
        </w:rPr>
        <w:t>а</w:t>
      </w:r>
    </w:p>
    <w:p w:rsidR="00F2002E" w:rsidRPr="007E29C1" w:rsidRDefault="00F2002E" w:rsidP="00F2002E">
      <w:pPr>
        <w:pStyle w:val="afd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E29C1">
        <w:rPr>
          <w:rFonts w:ascii="Times New Roman" w:hAnsi="Times New Roman"/>
          <w:b w:val="0"/>
          <w:color w:val="auto"/>
          <w:sz w:val="28"/>
          <w:szCs w:val="28"/>
        </w:rPr>
        <w:t>Некоммерческой организацией</w:t>
      </w:r>
    </w:p>
    <w:p w:rsidR="00F2002E" w:rsidRPr="007E29C1" w:rsidRDefault="00F2002E" w:rsidP="00F2002E">
      <w:pPr>
        <w:jc w:val="right"/>
        <w:rPr>
          <w:rFonts w:ascii="Times New Roman" w:hAnsi="Times New Roman" w:cs="Times New Roman"/>
          <w:b/>
          <w:iCs/>
          <w:spacing w:val="20"/>
          <w:sz w:val="24"/>
          <w:szCs w:val="24"/>
        </w:rPr>
      </w:pPr>
      <w:r w:rsidRPr="007E29C1">
        <w:rPr>
          <w:rFonts w:ascii="Times New Roman" w:hAnsi="Times New Roman" w:cs="Times New Roman"/>
          <w:b/>
          <w:iCs/>
          <w:spacing w:val="20"/>
          <w:sz w:val="24"/>
          <w:szCs w:val="24"/>
        </w:rPr>
        <w:t>ФОНД «НРБУ «БМЦ»</w:t>
      </w:r>
    </w:p>
    <w:p w:rsidR="00F04B19" w:rsidRPr="00723860" w:rsidRDefault="00F04B19" w:rsidP="00F04B19">
      <w:pPr>
        <w:pStyle w:val="afb"/>
        <w:shd w:val="clear" w:color="auto" w:fill="FFFFFF"/>
        <w:spacing w:before="0" w:beforeAutospacing="0" w:after="0" w:afterAutospacing="0"/>
        <w:jc w:val="right"/>
        <w:textAlignment w:val="baseline"/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</w:pPr>
      <w:proofErr w:type="gramStart"/>
      <w:r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Принята</w:t>
      </w:r>
      <w:proofErr w:type="gramEnd"/>
      <w:r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 xml:space="preserve"> </w:t>
      </w:r>
      <w:r w:rsidR="009A3B65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ОК МАШ</w:t>
      </w:r>
      <w:r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 xml:space="preserve"> 201</w:t>
      </w:r>
      <w:r w:rsidR="00C615E8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6</w:t>
      </w:r>
      <w:r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-</w:t>
      </w:r>
      <w:r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0</w:t>
      </w:r>
      <w:r w:rsidR="009A3B65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4</w:t>
      </w:r>
      <w:r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-</w:t>
      </w:r>
      <w:r w:rsidR="009A3B65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15</w:t>
      </w:r>
    </w:p>
    <w:p w:rsidR="008B194E" w:rsidRPr="00723860" w:rsidRDefault="008B194E" w:rsidP="003A27B4">
      <w:pPr>
        <w:pStyle w:val="afb"/>
        <w:shd w:val="clear" w:color="auto" w:fill="FFFFFF"/>
        <w:spacing w:before="0" w:beforeAutospacing="0" w:after="0" w:afterAutospacing="0"/>
        <w:jc w:val="right"/>
        <w:textAlignment w:val="baseline"/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</w:pPr>
      <w:r>
        <w:rPr>
          <w:i/>
          <w:color w:val="008080"/>
          <w:sz w:val="16"/>
          <w:szCs w:val="16"/>
        </w:rPr>
        <w:t xml:space="preserve">     </w:t>
      </w:r>
    </w:p>
    <w:p w:rsidR="00B33E52" w:rsidRPr="00CB0612" w:rsidRDefault="00B33E52" w:rsidP="00B33E52">
      <w:pPr>
        <w:shd w:val="clear" w:color="auto" w:fill="FFFFFF"/>
        <w:textAlignment w:val="baseline"/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</w:pPr>
      <w:r>
        <w:rPr>
          <w:rFonts w:ascii="Verdana" w:hAnsi="Verdana"/>
          <w:b/>
          <w:bCs/>
          <w:color w:val="800000"/>
          <w:sz w:val="16"/>
          <w:szCs w:val="16"/>
          <w:bdr w:val="none" w:sz="0" w:space="0" w:color="auto" w:frame="1"/>
        </w:rPr>
        <w:br/>
      </w:r>
    </w:p>
    <w:p w:rsidR="009A3B65" w:rsidRPr="009A3B65" w:rsidRDefault="009A3B65" w:rsidP="009A3B65">
      <w:pPr>
        <w:pStyle w:val="1"/>
        <w:jc w:val="center"/>
        <w:rPr>
          <w:rFonts w:ascii="Times New Roman" w:hAnsi="Times New Roman" w:cs="Times New Roman"/>
          <w:b/>
          <w:color w:val="006666"/>
          <w:spacing w:val="20"/>
          <w:sz w:val="28"/>
          <w:szCs w:val="28"/>
        </w:rPr>
      </w:pPr>
      <w:r w:rsidRPr="009A3B65">
        <w:rPr>
          <w:rFonts w:ascii="Times New Roman" w:hAnsi="Times New Roman" w:cs="Times New Roman"/>
          <w:b/>
          <w:color w:val="006666"/>
          <w:spacing w:val="20"/>
          <w:sz w:val="28"/>
          <w:szCs w:val="28"/>
        </w:rPr>
        <w:t>РЕКОМЕНДАЦИЯ</w:t>
      </w:r>
      <w:bookmarkStart w:id="0" w:name="_GoBack"/>
      <w:bookmarkEnd w:id="0"/>
      <w:r w:rsidRPr="009A3B65">
        <w:rPr>
          <w:rFonts w:ascii="Times New Roman" w:hAnsi="Times New Roman" w:cs="Times New Roman"/>
          <w:b/>
          <w:color w:val="006666"/>
          <w:spacing w:val="20"/>
          <w:sz w:val="28"/>
          <w:szCs w:val="28"/>
        </w:rPr>
        <w:t xml:space="preserve"> Р-72/16-ОК </w:t>
      </w:r>
      <w:r>
        <w:rPr>
          <w:rFonts w:ascii="Times New Roman" w:hAnsi="Times New Roman" w:cs="Times New Roman"/>
          <w:b/>
          <w:color w:val="006666"/>
          <w:spacing w:val="20"/>
          <w:sz w:val="28"/>
          <w:szCs w:val="28"/>
        </w:rPr>
        <w:t>МАШ</w:t>
      </w:r>
      <w:r w:rsidRPr="009A3B65">
        <w:rPr>
          <w:rFonts w:ascii="Times New Roman" w:hAnsi="Times New Roman" w:cs="Times New Roman"/>
          <w:b/>
          <w:color w:val="006666"/>
          <w:spacing w:val="20"/>
          <w:sz w:val="28"/>
          <w:szCs w:val="28"/>
        </w:rPr>
        <w:br/>
        <w:t>«СЛУЧАИ ПРИЗНАНИЯ ВЫРУЧКИ ПО СТЕПЕНИ ГОТОВНОСТИ»</w:t>
      </w:r>
    </w:p>
    <w:p w:rsidR="009A3B65" w:rsidRPr="009A3B65" w:rsidRDefault="009A3B65" w:rsidP="009A3B65">
      <w:pPr>
        <w:pStyle w:val="2"/>
        <w:rPr>
          <w:rFonts w:ascii="Times New Roman" w:hAnsi="Times New Roman" w:cs="Times New Roman"/>
          <w:szCs w:val="24"/>
        </w:rPr>
      </w:pPr>
      <w:r w:rsidRPr="009A3B65">
        <w:rPr>
          <w:rFonts w:ascii="Times New Roman" w:hAnsi="Times New Roman" w:cs="Times New Roman"/>
          <w:szCs w:val="24"/>
        </w:rPr>
        <w:t>ОПИСАНИЕ ПРОБЛЕМЫ</w:t>
      </w:r>
    </w:p>
    <w:p w:rsidR="009A3B65" w:rsidRPr="009A3B65" w:rsidRDefault="009A3B65" w:rsidP="009A3B65">
      <w:pPr>
        <w:jc w:val="both"/>
        <w:rPr>
          <w:rFonts w:ascii="Times New Roman" w:hAnsi="Times New Roman" w:cs="Times New Roman"/>
          <w:sz w:val="24"/>
          <w:szCs w:val="24"/>
        </w:rPr>
      </w:pPr>
      <w:r w:rsidRPr="009A3B65">
        <w:rPr>
          <w:rFonts w:ascii="Times New Roman" w:hAnsi="Times New Roman" w:cs="Times New Roman"/>
          <w:sz w:val="24"/>
          <w:szCs w:val="24"/>
        </w:rPr>
        <w:t>Российские нормативные правовые акты по бухгалтерскому учету обязывают признавать выручку методом «по мере готовности» в случаях, когда организация выступает в качестве подрядчика либо субподрядчика в договоре строительного подряда. Соответствующие требования содержатся в П</w:t>
      </w:r>
      <w:r w:rsidRPr="009A3B65">
        <w:rPr>
          <w:rFonts w:ascii="Times New Roman" w:hAnsi="Times New Roman" w:cs="Times New Roman"/>
          <w:sz w:val="24"/>
          <w:szCs w:val="24"/>
        </w:rPr>
        <w:t>о</w:t>
      </w:r>
      <w:r w:rsidRPr="009A3B65">
        <w:rPr>
          <w:rFonts w:ascii="Times New Roman" w:hAnsi="Times New Roman" w:cs="Times New Roman"/>
          <w:sz w:val="24"/>
          <w:szCs w:val="24"/>
        </w:rPr>
        <w:t>ложении по бухгалтерскому учету «Учет договоров строительного подряда» (ПБУ 2/2008). В остал</w:t>
      </w:r>
      <w:r w:rsidRPr="009A3B65">
        <w:rPr>
          <w:rFonts w:ascii="Times New Roman" w:hAnsi="Times New Roman" w:cs="Times New Roman"/>
          <w:sz w:val="24"/>
          <w:szCs w:val="24"/>
        </w:rPr>
        <w:t>ь</w:t>
      </w:r>
      <w:r w:rsidRPr="009A3B65">
        <w:rPr>
          <w:rFonts w:ascii="Times New Roman" w:hAnsi="Times New Roman" w:cs="Times New Roman"/>
          <w:sz w:val="24"/>
          <w:szCs w:val="24"/>
        </w:rPr>
        <w:t>ных случаях организация самостоятельно решает вопрос о признании выручки по степени готовн</w:t>
      </w:r>
      <w:r w:rsidRPr="009A3B65">
        <w:rPr>
          <w:rFonts w:ascii="Times New Roman" w:hAnsi="Times New Roman" w:cs="Times New Roman"/>
          <w:sz w:val="24"/>
          <w:szCs w:val="24"/>
        </w:rPr>
        <w:t>о</w:t>
      </w:r>
      <w:r w:rsidRPr="009A3B65">
        <w:rPr>
          <w:rFonts w:ascii="Times New Roman" w:hAnsi="Times New Roman" w:cs="Times New Roman"/>
          <w:sz w:val="24"/>
          <w:szCs w:val="24"/>
        </w:rPr>
        <w:t>сти. Так, Положение по бухгалтерскому учету «Доходы организации» (ПБУ 9/99) позволяет призн</w:t>
      </w:r>
      <w:r w:rsidRPr="009A3B65">
        <w:rPr>
          <w:rFonts w:ascii="Times New Roman" w:hAnsi="Times New Roman" w:cs="Times New Roman"/>
          <w:sz w:val="24"/>
          <w:szCs w:val="24"/>
        </w:rPr>
        <w:t>а</w:t>
      </w:r>
      <w:r w:rsidRPr="009A3B65">
        <w:rPr>
          <w:rFonts w:ascii="Times New Roman" w:hAnsi="Times New Roman" w:cs="Times New Roman"/>
          <w:sz w:val="24"/>
          <w:szCs w:val="24"/>
        </w:rPr>
        <w:t>вать в бухгалтерском учете выручку от выполнения работ, оказания услуг, продажи продукции с длительным циклом изготовления по мере готовности работы, у</w:t>
      </w:r>
      <w:r w:rsidRPr="009A3B65">
        <w:rPr>
          <w:rFonts w:ascii="Times New Roman" w:hAnsi="Times New Roman" w:cs="Times New Roman"/>
          <w:sz w:val="24"/>
          <w:szCs w:val="24"/>
        </w:rPr>
        <w:t>с</w:t>
      </w:r>
      <w:r w:rsidRPr="009A3B65">
        <w:rPr>
          <w:rFonts w:ascii="Times New Roman" w:hAnsi="Times New Roman" w:cs="Times New Roman"/>
          <w:sz w:val="24"/>
          <w:szCs w:val="24"/>
        </w:rPr>
        <w:t>луги, продукции. Более конкретных норм, определяющих случаи, в которых признание выручки указанным способом допустимо, в но</w:t>
      </w:r>
      <w:r w:rsidRPr="009A3B65">
        <w:rPr>
          <w:rFonts w:ascii="Times New Roman" w:hAnsi="Times New Roman" w:cs="Times New Roman"/>
          <w:sz w:val="24"/>
          <w:szCs w:val="24"/>
        </w:rPr>
        <w:t>р</w:t>
      </w:r>
      <w:r w:rsidRPr="009A3B65">
        <w:rPr>
          <w:rFonts w:ascii="Times New Roman" w:hAnsi="Times New Roman" w:cs="Times New Roman"/>
          <w:sz w:val="24"/>
          <w:szCs w:val="24"/>
        </w:rPr>
        <w:t>мативных правовых актах не содержится. В большинстве случаев применимость этого метода в о</w:t>
      </w:r>
      <w:r w:rsidRPr="009A3B65">
        <w:rPr>
          <w:rFonts w:ascii="Times New Roman" w:hAnsi="Times New Roman" w:cs="Times New Roman"/>
          <w:sz w:val="24"/>
          <w:szCs w:val="24"/>
        </w:rPr>
        <w:t>т</w:t>
      </w:r>
      <w:r w:rsidRPr="009A3B65">
        <w:rPr>
          <w:rFonts w:ascii="Times New Roman" w:hAnsi="Times New Roman" w:cs="Times New Roman"/>
          <w:sz w:val="24"/>
          <w:szCs w:val="24"/>
        </w:rPr>
        <w:t>ношении работ или услуг является очевидным. Однако не всегда. Что касается продажи пр</w:t>
      </w:r>
      <w:r w:rsidRPr="009A3B65">
        <w:rPr>
          <w:rFonts w:ascii="Times New Roman" w:hAnsi="Times New Roman" w:cs="Times New Roman"/>
          <w:sz w:val="24"/>
          <w:szCs w:val="24"/>
        </w:rPr>
        <w:t>о</w:t>
      </w:r>
      <w:r w:rsidRPr="009A3B65">
        <w:rPr>
          <w:rFonts w:ascii="Times New Roman" w:hAnsi="Times New Roman" w:cs="Times New Roman"/>
          <w:sz w:val="24"/>
          <w:szCs w:val="24"/>
        </w:rPr>
        <w:t>дукции, то применимость метода признания выручки практически всегда ставится под вопрос. В этой связи необходимо уточнить, в каких именно случаях выручка может признаваться методом «по степени готовн</w:t>
      </w:r>
      <w:r w:rsidRPr="009A3B65">
        <w:rPr>
          <w:rFonts w:ascii="Times New Roman" w:hAnsi="Times New Roman" w:cs="Times New Roman"/>
          <w:sz w:val="24"/>
          <w:szCs w:val="24"/>
        </w:rPr>
        <w:t>о</w:t>
      </w:r>
      <w:r w:rsidRPr="009A3B65">
        <w:rPr>
          <w:rFonts w:ascii="Times New Roman" w:hAnsi="Times New Roman" w:cs="Times New Roman"/>
          <w:sz w:val="24"/>
          <w:szCs w:val="24"/>
        </w:rPr>
        <w:t>сти».</w:t>
      </w:r>
    </w:p>
    <w:p w:rsidR="009A3B65" w:rsidRPr="009A3B65" w:rsidRDefault="009A3B65" w:rsidP="009A3B65">
      <w:pPr>
        <w:pStyle w:val="2"/>
        <w:rPr>
          <w:rFonts w:ascii="Times New Roman" w:hAnsi="Times New Roman" w:cs="Times New Roman"/>
          <w:szCs w:val="24"/>
        </w:rPr>
      </w:pPr>
      <w:r w:rsidRPr="009A3B65">
        <w:rPr>
          <w:rFonts w:ascii="Times New Roman" w:hAnsi="Times New Roman" w:cs="Times New Roman"/>
          <w:szCs w:val="24"/>
        </w:rPr>
        <w:t>РЕШЕНИЕ</w:t>
      </w:r>
    </w:p>
    <w:p w:rsidR="009A3B65" w:rsidRPr="009A3B65" w:rsidRDefault="009A3B65" w:rsidP="009A3B65">
      <w:pPr>
        <w:pStyle w:val="af"/>
        <w:numPr>
          <w:ilvl w:val="0"/>
          <w:numId w:val="20"/>
        </w:numPr>
        <w:spacing w:before="120" w:after="0"/>
        <w:ind w:left="567" w:hanging="567"/>
        <w:contextualSpacing w:val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Настоящая Рекомендация применяется в равной </w:t>
      </w:r>
      <w:proofErr w:type="gramStart"/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степени</w:t>
      </w:r>
      <w:proofErr w:type="gramEnd"/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как в отношении отдельного договора, так и в отношении совокупности экономически взаимосвязанных договоров, а также в отнош</w:t>
      </w:r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е</w:t>
      </w:r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нии части договора (совокупности его условий, которые экономически отделимы от других у</w:t>
      </w:r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с</w:t>
      </w:r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ловий договора). При определении предмета настоящей рекомендации целесообразно руков</w:t>
      </w:r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</w:t>
      </w:r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дствоваться признаками идентификации обязанности предоставления (</w:t>
      </w:r>
      <w:proofErr w:type="spellStart"/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performance</w:t>
      </w:r>
      <w:proofErr w:type="spellEnd"/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obligation</w:t>
      </w:r>
      <w:proofErr w:type="spellEnd"/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), определёнными в международном ста</w:t>
      </w:r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н</w:t>
      </w:r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дарте IFRS 15 «Выручка от договоров с покупателями».</w:t>
      </w:r>
    </w:p>
    <w:p w:rsidR="009A3B65" w:rsidRPr="009A3B65" w:rsidRDefault="009A3B65" w:rsidP="009A3B65">
      <w:pPr>
        <w:pStyle w:val="af"/>
        <w:numPr>
          <w:ilvl w:val="0"/>
          <w:numId w:val="20"/>
        </w:numPr>
        <w:spacing w:before="120" w:after="0"/>
        <w:ind w:left="567" w:hanging="567"/>
        <w:contextualSpacing w:val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Гражданско-правовая квалификация договора не влияет на порядок признания выручки в бу</w:t>
      </w:r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х</w:t>
      </w:r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галтерском учете, в частности на возможность признания выручки методом «по степени гото</w:t>
      </w:r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в</w:t>
      </w:r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ности».</w:t>
      </w:r>
    </w:p>
    <w:p w:rsidR="009A3B65" w:rsidRPr="009A3B65" w:rsidRDefault="009A3B65" w:rsidP="009A3B65">
      <w:pPr>
        <w:pStyle w:val="af"/>
        <w:numPr>
          <w:ilvl w:val="0"/>
          <w:numId w:val="20"/>
        </w:numPr>
        <w:spacing w:before="120" w:after="0"/>
        <w:ind w:left="567" w:hanging="567"/>
        <w:contextualSpacing w:val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Основным признаком применимости метода «по степени готовности» для признания выручки в бухгалтерском учете является заключение договора на производство продукции, осуществл</w:t>
      </w:r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е</w:t>
      </w:r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lastRenderedPageBreak/>
        <w:t>ние работ, оказание услуг до того момента, как организация производит соответствующие пр</w:t>
      </w:r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</w:t>
      </w:r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дукцию, работы, услуги. В качестве дополнительных признаков применимости указанного м</w:t>
      </w:r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е</w:t>
      </w:r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тода организация может использовать признаки выполнения обязанности предоставления в т</w:t>
      </w:r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е</w:t>
      </w:r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чение времени, определённые в международном стандарте IFRS 15 «Выручка от договоров с покупателями».</w:t>
      </w:r>
    </w:p>
    <w:p w:rsidR="009A3B65" w:rsidRPr="009A3B65" w:rsidRDefault="009A3B65" w:rsidP="009A3B65">
      <w:pPr>
        <w:pStyle w:val="af"/>
        <w:numPr>
          <w:ilvl w:val="0"/>
          <w:numId w:val="20"/>
        </w:numPr>
        <w:spacing w:before="120" w:after="0"/>
        <w:ind w:left="567" w:hanging="567"/>
        <w:contextualSpacing w:val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Под «длительным циклом изготовления», </w:t>
      </w:r>
      <w:proofErr w:type="gramStart"/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указанном</w:t>
      </w:r>
      <w:proofErr w:type="gramEnd"/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в п.13 ПБУ 9/99, понимается цикл, пр</w:t>
      </w:r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е</w:t>
      </w:r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вышающий один год. Также в целях применения указанного пункта к длительному циклу изг</w:t>
      </w:r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</w:t>
      </w:r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товления продукции приравниваются ситуации, когда производство продукции начато в одном отчётном году, а </w:t>
      </w:r>
      <w:proofErr w:type="gramStart"/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за</w:t>
      </w:r>
      <w:proofErr w:type="gramEnd"/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кончится </w:t>
      </w:r>
      <w:proofErr w:type="gramStart"/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в</w:t>
      </w:r>
      <w:proofErr w:type="gramEnd"/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следующем, и при этом степень завершённости производства этой продукции по состоянию на отчё</w:t>
      </w:r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</w:t>
      </w:r>
      <w:r w:rsidRPr="009A3B6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ную дату является существенной.</w:t>
      </w:r>
    </w:p>
    <w:p w:rsidR="009A3B65" w:rsidRPr="009A3B65" w:rsidRDefault="009A3B65" w:rsidP="009A3B65">
      <w:pPr>
        <w:pStyle w:val="2"/>
        <w:rPr>
          <w:rFonts w:ascii="Times New Roman" w:hAnsi="Times New Roman" w:cs="Times New Roman"/>
          <w:szCs w:val="24"/>
        </w:rPr>
      </w:pPr>
      <w:r w:rsidRPr="009A3B65">
        <w:rPr>
          <w:rFonts w:ascii="Times New Roman" w:hAnsi="Times New Roman" w:cs="Times New Roman"/>
          <w:szCs w:val="24"/>
        </w:rPr>
        <w:t>ОСНОВА ДЛЯ ВЫВОДОВ</w:t>
      </w:r>
    </w:p>
    <w:p w:rsidR="009A3B65" w:rsidRPr="009A3B65" w:rsidRDefault="009A3B65" w:rsidP="009A3B65">
      <w:pPr>
        <w:jc w:val="both"/>
        <w:rPr>
          <w:rFonts w:ascii="Times New Roman" w:hAnsi="Times New Roman" w:cs="Times New Roman"/>
          <w:sz w:val="24"/>
          <w:szCs w:val="24"/>
        </w:rPr>
      </w:pPr>
      <w:r w:rsidRPr="009A3B65">
        <w:rPr>
          <w:rFonts w:ascii="Times New Roman" w:hAnsi="Times New Roman" w:cs="Times New Roman"/>
          <w:sz w:val="24"/>
          <w:szCs w:val="24"/>
        </w:rPr>
        <w:t xml:space="preserve">В соответствии с пунктом 1 Положения по бухгалтерскому учету «Учетная политика организации» (ПБУ 1/2008) учетная политика организации должна обеспечивать </w:t>
      </w:r>
      <w:proofErr w:type="gramStart"/>
      <w:r w:rsidRPr="009A3B65">
        <w:rPr>
          <w:rFonts w:ascii="Times New Roman" w:hAnsi="Times New Roman" w:cs="Times New Roman"/>
          <w:sz w:val="24"/>
          <w:szCs w:val="24"/>
        </w:rPr>
        <w:t>отражение</w:t>
      </w:r>
      <w:proofErr w:type="gramEnd"/>
      <w:r w:rsidRPr="009A3B65">
        <w:rPr>
          <w:rFonts w:ascii="Times New Roman" w:hAnsi="Times New Roman" w:cs="Times New Roman"/>
          <w:sz w:val="24"/>
          <w:szCs w:val="24"/>
        </w:rPr>
        <w:t xml:space="preserve"> в бухгалтерском учете фактов хозяйственной деятельности исходя не столько из их правовой формы, сколько из их экон</w:t>
      </w:r>
      <w:r w:rsidRPr="009A3B65">
        <w:rPr>
          <w:rFonts w:ascii="Times New Roman" w:hAnsi="Times New Roman" w:cs="Times New Roman"/>
          <w:sz w:val="24"/>
          <w:szCs w:val="24"/>
        </w:rPr>
        <w:t>о</w:t>
      </w:r>
      <w:r w:rsidRPr="009A3B65">
        <w:rPr>
          <w:rFonts w:ascii="Times New Roman" w:hAnsi="Times New Roman" w:cs="Times New Roman"/>
          <w:sz w:val="24"/>
          <w:szCs w:val="24"/>
        </w:rPr>
        <w:t>мического содержания и условий хозяйствования (требование приоритета содержания перед фо</w:t>
      </w:r>
      <w:r w:rsidRPr="009A3B65">
        <w:rPr>
          <w:rFonts w:ascii="Times New Roman" w:hAnsi="Times New Roman" w:cs="Times New Roman"/>
          <w:sz w:val="24"/>
          <w:szCs w:val="24"/>
        </w:rPr>
        <w:t>р</w:t>
      </w:r>
      <w:r w:rsidRPr="009A3B65">
        <w:rPr>
          <w:rFonts w:ascii="Times New Roman" w:hAnsi="Times New Roman" w:cs="Times New Roman"/>
          <w:sz w:val="24"/>
          <w:szCs w:val="24"/>
        </w:rPr>
        <w:t xml:space="preserve">мой). Исходя из этого при решении </w:t>
      </w:r>
      <w:proofErr w:type="gramStart"/>
      <w:r w:rsidRPr="009A3B65">
        <w:rPr>
          <w:rFonts w:ascii="Times New Roman" w:hAnsi="Times New Roman" w:cs="Times New Roman"/>
          <w:sz w:val="24"/>
          <w:szCs w:val="24"/>
        </w:rPr>
        <w:t>вопроса применимости метода признания выручки</w:t>
      </w:r>
      <w:proofErr w:type="gramEnd"/>
      <w:r w:rsidRPr="009A3B65">
        <w:rPr>
          <w:rFonts w:ascii="Times New Roman" w:hAnsi="Times New Roman" w:cs="Times New Roman"/>
          <w:sz w:val="24"/>
          <w:szCs w:val="24"/>
        </w:rPr>
        <w:t xml:space="preserve"> по степени готовности следует рассматривать, прежде вс</w:t>
      </w:r>
      <w:r w:rsidRPr="009A3B65">
        <w:rPr>
          <w:rFonts w:ascii="Times New Roman" w:hAnsi="Times New Roman" w:cs="Times New Roman"/>
          <w:sz w:val="24"/>
          <w:szCs w:val="24"/>
        </w:rPr>
        <w:t>е</w:t>
      </w:r>
      <w:r w:rsidRPr="009A3B65">
        <w:rPr>
          <w:rFonts w:ascii="Times New Roman" w:hAnsi="Times New Roman" w:cs="Times New Roman"/>
          <w:sz w:val="24"/>
          <w:szCs w:val="24"/>
        </w:rPr>
        <w:t>го, содержание условий соглашения между сторонами сделки, независимо от формы договора (договоров), в к</w:t>
      </w:r>
      <w:r w:rsidRPr="009A3B65">
        <w:rPr>
          <w:rFonts w:ascii="Times New Roman" w:hAnsi="Times New Roman" w:cs="Times New Roman"/>
          <w:sz w:val="24"/>
          <w:szCs w:val="24"/>
        </w:rPr>
        <w:t>о</w:t>
      </w:r>
      <w:r w:rsidRPr="009A3B65">
        <w:rPr>
          <w:rFonts w:ascii="Times New Roman" w:hAnsi="Times New Roman" w:cs="Times New Roman"/>
          <w:sz w:val="24"/>
          <w:szCs w:val="24"/>
        </w:rPr>
        <w:t>торый обличена сделка (сделки).</w:t>
      </w:r>
    </w:p>
    <w:p w:rsidR="009A3B65" w:rsidRPr="009A3B65" w:rsidRDefault="009A3B65" w:rsidP="009A3B65">
      <w:pPr>
        <w:jc w:val="both"/>
        <w:rPr>
          <w:rFonts w:ascii="Times New Roman" w:hAnsi="Times New Roman" w:cs="Times New Roman"/>
          <w:sz w:val="24"/>
          <w:szCs w:val="24"/>
        </w:rPr>
      </w:pPr>
      <w:r w:rsidRPr="009A3B65">
        <w:rPr>
          <w:rFonts w:ascii="Times New Roman" w:hAnsi="Times New Roman" w:cs="Times New Roman"/>
          <w:sz w:val="24"/>
          <w:szCs w:val="24"/>
        </w:rPr>
        <w:t xml:space="preserve">В отдельных случаях несколько взаимосвязанных договоров могут представлять собой по существу единую совокупность, в отношении которой в бухгалтерском учете может признаваться выручка. </w:t>
      </w:r>
      <w:proofErr w:type="gramStart"/>
      <w:r w:rsidRPr="009A3B6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A3B65">
        <w:rPr>
          <w:rFonts w:ascii="Times New Roman" w:hAnsi="Times New Roman" w:cs="Times New Roman"/>
          <w:sz w:val="24"/>
          <w:szCs w:val="24"/>
        </w:rPr>
        <w:t xml:space="preserve"> наоборот, в одном договоре могут содержаться условия предоставления разных продукции, товаров, работ, услуг, выручка по которым может признаваться отдельно. В этой связи следует отметить вв</w:t>
      </w:r>
      <w:r w:rsidRPr="009A3B65">
        <w:rPr>
          <w:rFonts w:ascii="Times New Roman" w:hAnsi="Times New Roman" w:cs="Times New Roman"/>
          <w:sz w:val="24"/>
          <w:szCs w:val="24"/>
        </w:rPr>
        <w:t>о</w:t>
      </w:r>
      <w:r w:rsidRPr="009A3B65">
        <w:rPr>
          <w:rFonts w:ascii="Times New Roman" w:hAnsi="Times New Roman" w:cs="Times New Roman"/>
          <w:sz w:val="24"/>
          <w:szCs w:val="24"/>
        </w:rPr>
        <w:t xml:space="preserve">димое международным стандартом финансовой отчетности </w:t>
      </w:r>
      <w:r w:rsidRPr="009A3B65">
        <w:rPr>
          <w:rFonts w:ascii="Times New Roman" w:hAnsi="Times New Roman" w:cs="Times New Roman"/>
          <w:sz w:val="24"/>
          <w:szCs w:val="24"/>
          <w:lang w:val="en-US"/>
        </w:rPr>
        <w:t>IFRS </w:t>
      </w:r>
      <w:r w:rsidRPr="009A3B65">
        <w:rPr>
          <w:rFonts w:ascii="Times New Roman" w:hAnsi="Times New Roman" w:cs="Times New Roman"/>
          <w:sz w:val="24"/>
          <w:szCs w:val="24"/>
        </w:rPr>
        <w:t>15 «Выручка от договоров с пок</w:t>
      </w:r>
      <w:r w:rsidRPr="009A3B65">
        <w:rPr>
          <w:rFonts w:ascii="Times New Roman" w:hAnsi="Times New Roman" w:cs="Times New Roman"/>
          <w:sz w:val="24"/>
          <w:szCs w:val="24"/>
        </w:rPr>
        <w:t>у</w:t>
      </w:r>
      <w:r w:rsidRPr="009A3B65">
        <w:rPr>
          <w:rFonts w:ascii="Times New Roman" w:hAnsi="Times New Roman" w:cs="Times New Roman"/>
          <w:sz w:val="24"/>
          <w:szCs w:val="24"/>
        </w:rPr>
        <w:t>пателями» понятие «обязанность предоставления» (</w:t>
      </w:r>
      <w:proofErr w:type="spellStart"/>
      <w:r w:rsidRPr="009A3B65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9A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65">
        <w:rPr>
          <w:rFonts w:ascii="Times New Roman" w:hAnsi="Times New Roman" w:cs="Times New Roman"/>
          <w:sz w:val="24"/>
          <w:szCs w:val="24"/>
        </w:rPr>
        <w:t>obligation</w:t>
      </w:r>
      <w:proofErr w:type="spellEnd"/>
      <w:r w:rsidRPr="009A3B65">
        <w:rPr>
          <w:rFonts w:ascii="Times New Roman" w:hAnsi="Times New Roman" w:cs="Times New Roman"/>
          <w:sz w:val="24"/>
          <w:szCs w:val="24"/>
        </w:rPr>
        <w:t>). Это совокупность усл</w:t>
      </w:r>
      <w:r w:rsidRPr="009A3B65">
        <w:rPr>
          <w:rFonts w:ascii="Times New Roman" w:hAnsi="Times New Roman" w:cs="Times New Roman"/>
          <w:sz w:val="24"/>
          <w:szCs w:val="24"/>
        </w:rPr>
        <w:t>о</w:t>
      </w:r>
      <w:r w:rsidRPr="009A3B65">
        <w:rPr>
          <w:rFonts w:ascii="Times New Roman" w:hAnsi="Times New Roman" w:cs="Times New Roman"/>
          <w:sz w:val="24"/>
          <w:szCs w:val="24"/>
        </w:rPr>
        <w:t>вий договора или договоров, в отношении которой вопрос признания выручки рассматривается с</w:t>
      </w:r>
      <w:r w:rsidRPr="009A3B65">
        <w:rPr>
          <w:rFonts w:ascii="Times New Roman" w:hAnsi="Times New Roman" w:cs="Times New Roman"/>
          <w:sz w:val="24"/>
          <w:szCs w:val="24"/>
        </w:rPr>
        <w:t>а</w:t>
      </w:r>
      <w:r w:rsidRPr="009A3B65">
        <w:rPr>
          <w:rFonts w:ascii="Times New Roman" w:hAnsi="Times New Roman" w:cs="Times New Roman"/>
          <w:sz w:val="24"/>
          <w:szCs w:val="24"/>
        </w:rPr>
        <w:t>мостоятельно. При определении отдельной партии продукции, товара, работы, услуги или их сов</w:t>
      </w:r>
      <w:r w:rsidRPr="009A3B65">
        <w:rPr>
          <w:rFonts w:ascii="Times New Roman" w:hAnsi="Times New Roman" w:cs="Times New Roman"/>
          <w:sz w:val="24"/>
          <w:szCs w:val="24"/>
        </w:rPr>
        <w:t>о</w:t>
      </w:r>
      <w:r w:rsidRPr="009A3B65">
        <w:rPr>
          <w:rFonts w:ascii="Times New Roman" w:hAnsi="Times New Roman" w:cs="Times New Roman"/>
          <w:sz w:val="24"/>
          <w:szCs w:val="24"/>
        </w:rPr>
        <w:t>купности, в отношении которой следует рассматривать вопрос о выборе метода признания выручки, целесообразно руководствоваться идентификационными признаками обязанн</w:t>
      </w:r>
      <w:r w:rsidRPr="009A3B65">
        <w:rPr>
          <w:rFonts w:ascii="Times New Roman" w:hAnsi="Times New Roman" w:cs="Times New Roman"/>
          <w:sz w:val="24"/>
          <w:szCs w:val="24"/>
        </w:rPr>
        <w:t>о</w:t>
      </w:r>
      <w:r w:rsidRPr="009A3B65">
        <w:rPr>
          <w:rFonts w:ascii="Times New Roman" w:hAnsi="Times New Roman" w:cs="Times New Roman"/>
          <w:sz w:val="24"/>
          <w:szCs w:val="24"/>
        </w:rPr>
        <w:t>сти предоставления, определёнными в международном стандарте IFRS 15, поскольку соответствующие положения в ро</w:t>
      </w:r>
      <w:r w:rsidRPr="009A3B65">
        <w:rPr>
          <w:rFonts w:ascii="Times New Roman" w:hAnsi="Times New Roman" w:cs="Times New Roman"/>
          <w:sz w:val="24"/>
          <w:szCs w:val="24"/>
        </w:rPr>
        <w:t>с</w:t>
      </w:r>
      <w:r w:rsidRPr="009A3B65">
        <w:rPr>
          <w:rFonts w:ascii="Times New Roman" w:hAnsi="Times New Roman" w:cs="Times New Roman"/>
          <w:sz w:val="24"/>
          <w:szCs w:val="24"/>
        </w:rPr>
        <w:t>сийских стандартах отсутствуют.</w:t>
      </w:r>
    </w:p>
    <w:p w:rsidR="009A3B65" w:rsidRPr="009A3B65" w:rsidRDefault="009A3B65" w:rsidP="009A3B65">
      <w:pPr>
        <w:jc w:val="both"/>
        <w:rPr>
          <w:rFonts w:ascii="Times New Roman" w:hAnsi="Times New Roman" w:cs="Times New Roman"/>
          <w:sz w:val="24"/>
          <w:szCs w:val="24"/>
        </w:rPr>
      </w:pPr>
      <w:r w:rsidRPr="009A3B65">
        <w:rPr>
          <w:rFonts w:ascii="Times New Roman" w:hAnsi="Times New Roman" w:cs="Times New Roman"/>
          <w:sz w:val="24"/>
          <w:szCs w:val="24"/>
        </w:rPr>
        <w:t>Признание выручки по степени готовности предполагает оценку степени завершённости продукции, работы, услуги, предоставление которой предусмотрено договором. Выручка признаётся в доле от общей цены договора, соответствующей степени завершённости. В этой связи способ признания в</w:t>
      </w:r>
      <w:r w:rsidRPr="009A3B65">
        <w:rPr>
          <w:rFonts w:ascii="Times New Roman" w:hAnsi="Times New Roman" w:cs="Times New Roman"/>
          <w:sz w:val="24"/>
          <w:szCs w:val="24"/>
        </w:rPr>
        <w:t>ы</w:t>
      </w:r>
      <w:r w:rsidRPr="009A3B65">
        <w:rPr>
          <w:rFonts w:ascii="Times New Roman" w:hAnsi="Times New Roman" w:cs="Times New Roman"/>
          <w:sz w:val="24"/>
          <w:szCs w:val="24"/>
        </w:rPr>
        <w:t>ручки по степени готовн</w:t>
      </w:r>
      <w:r w:rsidRPr="009A3B65">
        <w:rPr>
          <w:rFonts w:ascii="Times New Roman" w:hAnsi="Times New Roman" w:cs="Times New Roman"/>
          <w:sz w:val="24"/>
          <w:szCs w:val="24"/>
        </w:rPr>
        <w:t>о</w:t>
      </w:r>
      <w:r w:rsidRPr="009A3B65">
        <w:rPr>
          <w:rFonts w:ascii="Times New Roman" w:hAnsi="Times New Roman" w:cs="Times New Roman"/>
          <w:sz w:val="24"/>
          <w:szCs w:val="24"/>
        </w:rPr>
        <w:t>сти применим только в отношении уже заключённых договоров.</w:t>
      </w:r>
    </w:p>
    <w:p w:rsidR="009A3B65" w:rsidRPr="009A3B65" w:rsidRDefault="009A3B65" w:rsidP="009A3B65">
      <w:pPr>
        <w:jc w:val="both"/>
        <w:rPr>
          <w:rFonts w:ascii="Times New Roman" w:hAnsi="Times New Roman" w:cs="Times New Roman"/>
          <w:sz w:val="24"/>
          <w:szCs w:val="24"/>
        </w:rPr>
      </w:pPr>
      <w:r w:rsidRPr="009A3B65">
        <w:rPr>
          <w:rFonts w:ascii="Times New Roman" w:hAnsi="Times New Roman" w:cs="Times New Roman"/>
          <w:sz w:val="24"/>
          <w:szCs w:val="24"/>
        </w:rPr>
        <w:t>Вместе с тем, это касается не всех заключенных договоров. Основополагающим принципом опред</w:t>
      </w:r>
      <w:r w:rsidRPr="009A3B65">
        <w:rPr>
          <w:rFonts w:ascii="Times New Roman" w:hAnsi="Times New Roman" w:cs="Times New Roman"/>
          <w:sz w:val="24"/>
          <w:szCs w:val="24"/>
        </w:rPr>
        <w:t>е</w:t>
      </w:r>
      <w:r w:rsidRPr="009A3B65">
        <w:rPr>
          <w:rFonts w:ascii="Times New Roman" w:hAnsi="Times New Roman" w:cs="Times New Roman"/>
          <w:sz w:val="24"/>
          <w:szCs w:val="24"/>
        </w:rPr>
        <w:t>ления момента признания выручки является идентификация момента перехода от продавца к покуп</w:t>
      </w:r>
      <w:r w:rsidRPr="009A3B65">
        <w:rPr>
          <w:rFonts w:ascii="Times New Roman" w:hAnsi="Times New Roman" w:cs="Times New Roman"/>
          <w:sz w:val="24"/>
          <w:szCs w:val="24"/>
        </w:rPr>
        <w:t>а</w:t>
      </w:r>
      <w:r w:rsidRPr="009A3B65">
        <w:rPr>
          <w:rFonts w:ascii="Times New Roman" w:hAnsi="Times New Roman" w:cs="Times New Roman"/>
          <w:sz w:val="24"/>
          <w:szCs w:val="24"/>
        </w:rPr>
        <w:t>телю экономических рисков и выгод, связанных с предметом продажи. Признание выручки по ст</w:t>
      </w:r>
      <w:r w:rsidRPr="009A3B65">
        <w:rPr>
          <w:rFonts w:ascii="Times New Roman" w:hAnsi="Times New Roman" w:cs="Times New Roman"/>
          <w:sz w:val="24"/>
          <w:szCs w:val="24"/>
        </w:rPr>
        <w:t>е</w:t>
      </w:r>
      <w:r w:rsidRPr="009A3B65">
        <w:rPr>
          <w:rFonts w:ascii="Times New Roman" w:hAnsi="Times New Roman" w:cs="Times New Roman"/>
          <w:sz w:val="24"/>
          <w:szCs w:val="24"/>
        </w:rPr>
        <w:t>пени готовности основано на том, что экономические риски и выгоды принадлежат покупателю ср</w:t>
      </w:r>
      <w:r w:rsidRPr="009A3B65">
        <w:rPr>
          <w:rFonts w:ascii="Times New Roman" w:hAnsi="Times New Roman" w:cs="Times New Roman"/>
          <w:sz w:val="24"/>
          <w:szCs w:val="24"/>
        </w:rPr>
        <w:t>а</w:t>
      </w:r>
      <w:r w:rsidRPr="009A3B65">
        <w:rPr>
          <w:rFonts w:ascii="Times New Roman" w:hAnsi="Times New Roman" w:cs="Times New Roman"/>
          <w:sz w:val="24"/>
          <w:szCs w:val="24"/>
        </w:rPr>
        <w:t>зу же по мере возникновения предмета продажи. Это имеет место только в тех случаях, когда пр</w:t>
      </w:r>
      <w:r w:rsidRPr="009A3B65">
        <w:rPr>
          <w:rFonts w:ascii="Times New Roman" w:hAnsi="Times New Roman" w:cs="Times New Roman"/>
          <w:sz w:val="24"/>
          <w:szCs w:val="24"/>
        </w:rPr>
        <w:t>о</w:t>
      </w:r>
      <w:r w:rsidRPr="009A3B65">
        <w:rPr>
          <w:rFonts w:ascii="Times New Roman" w:hAnsi="Times New Roman" w:cs="Times New Roman"/>
          <w:sz w:val="24"/>
          <w:szCs w:val="24"/>
        </w:rPr>
        <w:t>дукция изготавливается, работы выполняются и услуги оказываются на основании заключённого между покупателем и продавцом договора. То есть, продавец не обладает предметом продажи до з</w:t>
      </w:r>
      <w:r w:rsidRPr="009A3B65">
        <w:rPr>
          <w:rFonts w:ascii="Times New Roman" w:hAnsi="Times New Roman" w:cs="Times New Roman"/>
          <w:sz w:val="24"/>
          <w:szCs w:val="24"/>
        </w:rPr>
        <w:t>а</w:t>
      </w:r>
      <w:r w:rsidRPr="009A3B65">
        <w:rPr>
          <w:rFonts w:ascii="Times New Roman" w:hAnsi="Times New Roman" w:cs="Times New Roman"/>
          <w:sz w:val="24"/>
          <w:szCs w:val="24"/>
        </w:rPr>
        <w:t>ключения договора, а обладает лишь ресурсами, с помощью кот</w:t>
      </w:r>
      <w:r w:rsidRPr="009A3B65">
        <w:rPr>
          <w:rFonts w:ascii="Times New Roman" w:hAnsi="Times New Roman" w:cs="Times New Roman"/>
          <w:sz w:val="24"/>
          <w:szCs w:val="24"/>
        </w:rPr>
        <w:t>о</w:t>
      </w:r>
      <w:r w:rsidRPr="009A3B65">
        <w:rPr>
          <w:rFonts w:ascii="Times New Roman" w:hAnsi="Times New Roman" w:cs="Times New Roman"/>
          <w:sz w:val="24"/>
          <w:szCs w:val="24"/>
        </w:rPr>
        <w:t>рых он способен создать предмет продажи и тем самым выполнить договор. Если продавец обладает предметом продажи ещё до з</w:t>
      </w:r>
      <w:r w:rsidRPr="009A3B65">
        <w:rPr>
          <w:rFonts w:ascii="Times New Roman" w:hAnsi="Times New Roman" w:cs="Times New Roman"/>
          <w:sz w:val="24"/>
          <w:szCs w:val="24"/>
        </w:rPr>
        <w:t>а</w:t>
      </w:r>
      <w:r w:rsidRPr="009A3B65">
        <w:rPr>
          <w:rFonts w:ascii="Times New Roman" w:hAnsi="Times New Roman" w:cs="Times New Roman"/>
          <w:sz w:val="24"/>
          <w:szCs w:val="24"/>
        </w:rPr>
        <w:t>ключения договора, то само по себе его заключение не приводит к переходу эк</w:t>
      </w:r>
      <w:r w:rsidRPr="009A3B65">
        <w:rPr>
          <w:rFonts w:ascii="Times New Roman" w:hAnsi="Times New Roman" w:cs="Times New Roman"/>
          <w:sz w:val="24"/>
          <w:szCs w:val="24"/>
        </w:rPr>
        <w:t>о</w:t>
      </w:r>
      <w:r w:rsidRPr="009A3B65">
        <w:rPr>
          <w:rFonts w:ascii="Times New Roman" w:hAnsi="Times New Roman" w:cs="Times New Roman"/>
          <w:sz w:val="24"/>
          <w:szCs w:val="24"/>
        </w:rPr>
        <w:t xml:space="preserve">номических рисков и </w:t>
      </w:r>
      <w:r w:rsidRPr="009A3B65">
        <w:rPr>
          <w:rFonts w:ascii="Times New Roman" w:hAnsi="Times New Roman" w:cs="Times New Roman"/>
          <w:sz w:val="24"/>
          <w:szCs w:val="24"/>
        </w:rPr>
        <w:lastRenderedPageBreak/>
        <w:t>выгод к покупателю. Поэтому в таких случаях признание выручки по степени готовности неуместно. Таким образом основным признаком применимости метода признания выручки по степени готовн</w:t>
      </w:r>
      <w:r w:rsidRPr="009A3B65">
        <w:rPr>
          <w:rFonts w:ascii="Times New Roman" w:hAnsi="Times New Roman" w:cs="Times New Roman"/>
          <w:sz w:val="24"/>
          <w:szCs w:val="24"/>
        </w:rPr>
        <w:t>о</w:t>
      </w:r>
      <w:r w:rsidRPr="009A3B65">
        <w:rPr>
          <w:rFonts w:ascii="Times New Roman" w:hAnsi="Times New Roman" w:cs="Times New Roman"/>
          <w:sz w:val="24"/>
          <w:szCs w:val="24"/>
        </w:rPr>
        <w:t>сти являе</w:t>
      </w:r>
      <w:r w:rsidRPr="009A3B65">
        <w:rPr>
          <w:rFonts w:ascii="Times New Roman" w:hAnsi="Times New Roman" w:cs="Times New Roman"/>
          <w:sz w:val="24"/>
          <w:szCs w:val="24"/>
        </w:rPr>
        <w:t>т</w:t>
      </w:r>
      <w:r w:rsidRPr="009A3B65">
        <w:rPr>
          <w:rFonts w:ascii="Times New Roman" w:hAnsi="Times New Roman" w:cs="Times New Roman"/>
          <w:sz w:val="24"/>
          <w:szCs w:val="24"/>
        </w:rPr>
        <w:t>ся заключение договора на производство продукции, осуществление работ, оказание услуг до того момента, как организация производит соответствующие продукцию, работы, услуги.</w:t>
      </w:r>
    </w:p>
    <w:p w:rsidR="009A3B65" w:rsidRPr="009A3B65" w:rsidRDefault="009A3B65" w:rsidP="009A3B65">
      <w:pPr>
        <w:jc w:val="both"/>
        <w:rPr>
          <w:rFonts w:ascii="Times New Roman" w:hAnsi="Times New Roman" w:cs="Times New Roman"/>
          <w:sz w:val="24"/>
          <w:szCs w:val="24"/>
        </w:rPr>
      </w:pPr>
      <w:r w:rsidRPr="009A3B65">
        <w:rPr>
          <w:rFonts w:ascii="Times New Roman" w:hAnsi="Times New Roman" w:cs="Times New Roman"/>
          <w:sz w:val="24"/>
          <w:szCs w:val="24"/>
        </w:rPr>
        <w:t>Для более детального анализа применимости метода признания выручки по степени готовности м</w:t>
      </w:r>
      <w:r w:rsidRPr="009A3B65">
        <w:rPr>
          <w:rFonts w:ascii="Times New Roman" w:hAnsi="Times New Roman" w:cs="Times New Roman"/>
          <w:sz w:val="24"/>
          <w:szCs w:val="24"/>
        </w:rPr>
        <w:t>о</w:t>
      </w:r>
      <w:r w:rsidRPr="009A3B65">
        <w:rPr>
          <w:rFonts w:ascii="Times New Roman" w:hAnsi="Times New Roman" w:cs="Times New Roman"/>
          <w:sz w:val="24"/>
          <w:szCs w:val="24"/>
        </w:rPr>
        <w:t xml:space="preserve">гут помочь положения </w:t>
      </w:r>
      <w:r w:rsidRPr="009A3B65">
        <w:rPr>
          <w:rFonts w:ascii="Times New Roman" w:hAnsi="Times New Roman" w:cs="Times New Roman"/>
          <w:sz w:val="24"/>
          <w:szCs w:val="24"/>
          <w:lang w:val="en-US"/>
        </w:rPr>
        <w:t>IFRS </w:t>
      </w:r>
      <w:r w:rsidRPr="009A3B65">
        <w:rPr>
          <w:rFonts w:ascii="Times New Roman" w:hAnsi="Times New Roman" w:cs="Times New Roman"/>
          <w:sz w:val="24"/>
          <w:szCs w:val="24"/>
        </w:rPr>
        <w:t>15. Этот стандарт выделяет два принципиально разных типа выполнения обязанности предоставления по времени. Эта обязанность может выполняться в течение времени л</w:t>
      </w:r>
      <w:r w:rsidRPr="009A3B65">
        <w:rPr>
          <w:rFonts w:ascii="Times New Roman" w:hAnsi="Times New Roman" w:cs="Times New Roman"/>
          <w:sz w:val="24"/>
          <w:szCs w:val="24"/>
        </w:rPr>
        <w:t>и</w:t>
      </w:r>
      <w:r w:rsidRPr="009A3B65">
        <w:rPr>
          <w:rFonts w:ascii="Times New Roman" w:hAnsi="Times New Roman" w:cs="Times New Roman"/>
          <w:sz w:val="24"/>
          <w:szCs w:val="24"/>
        </w:rPr>
        <w:t>бо в момент времени. В случае если обязанность предоставления выполняется в течение времени, соответствующая выручка призн</w:t>
      </w:r>
      <w:r w:rsidRPr="009A3B65">
        <w:rPr>
          <w:rFonts w:ascii="Times New Roman" w:hAnsi="Times New Roman" w:cs="Times New Roman"/>
          <w:sz w:val="24"/>
          <w:szCs w:val="24"/>
        </w:rPr>
        <w:t>а</w:t>
      </w:r>
      <w:r w:rsidRPr="009A3B65">
        <w:rPr>
          <w:rFonts w:ascii="Times New Roman" w:hAnsi="Times New Roman" w:cs="Times New Roman"/>
          <w:sz w:val="24"/>
          <w:szCs w:val="24"/>
        </w:rPr>
        <w:t xml:space="preserve">ется исходя из оценки степени </w:t>
      </w:r>
      <w:proofErr w:type="spellStart"/>
      <w:r w:rsidRPr="009A3B65">
        <w:rPr>
          <w:rFonts w:ascii="Times New Roman" w:hAnsi="Times New Roman" w:cs="Times New Roman"/>
          <w:sz w:val="24"/>
          <w:szCs w:val="24"/>
        </w:rPr>
        <w:t>исполненности</w:t>
      </w:r>
      <w:proofErr w:type="spellEnd"/>
      <w:r w:rsidRPr="009A3B65">
        <w:rPr>
          <w:rFonts w:ascii="Times New Roman" w:hAnsi="Times New Roman" w:cs="Times New Roman"/>
          <w:sz w:val="24"/>
          <w:szCs w:val="24"/>
        </w:rPr>
        <w:t xml:space="preserve"> такой обязанности на отчётную дату. Поэтому признаки в</w:t>
      </w:r>
      <w:r w:rsidRPr="009A3B65">
        <w:rPr>
          <w:rFonts w:ascii="Times New Roman" w:hAnsi="Times New Roman" w:cs="Times New Roman"/>
          <w:sz w:val="24"/>
          <w:szCs w:val="24"/>
        </w:rPr>
        <w:t>ы</w:t>
      </w:r>
      <w:r w:rsidRPr="009A3B65">
        <w:rPr>
          <w:rFonts w:ascii="Times New Roman" w:hAnsi="Times New Roman" w:cs="Times New Roman"/>
          <w:sz w:val="24"/>
          <w:szCs w:val="24"/>
        </w:rPr>
        <w:t xml:space="preserve">полнения обязанности предоставления в течение времени, изложенные в </w:t>
      </w:r>
      <w:r w:rsidRPr="009A3B65">
        <w:rPr>
          <w:rFonts w:ascii="Times New Roman" w:hAnsi="Times New Roman" w:cs="Times New Roman"/>
          <w:sz w:val="24"/>
          <w:szCs w:val="24"/>
          <w:lang w:val="en-US"/>
        </w:rPr>
        <w:t>IFRS </w:t>
      </w:r>
      <w:r w:rsidRPr="009A3B65">
        <w:rPr>
          <w:rFonts w:ascii="Times New Roman" w:hAnsi="Times New Roman" w:cs="Times New Roman"/>
          <w:sz w:val="24"/>
          <w:szCs w:val="24"/>
        </w:rPr>
        <w:t>15, целесообразно использ</w:t>
      </w:r>
      <w:r w:rsidRPr="009A3B65">
        <w:rPr>
          <w:rFonts w:ascii="Times New Roman" w:hAnsi="Times New Roman" w:cs="Times New Roman"/>
          <w:sz w:val="24"/>
          <w:szCs w:val="24"/>
        </w:rPr>
        <w:t>о</w:t>
      </w:r>
      <w:r w:rsidRPr="009A3B65">
        <w:rPr>
          <w:rFonts w:ascii="Times New Roman" w:hAnsi="Times New Roman" w:cs="Times New Roman"/>
          <w:sz w:val="24"/>
          <w:szCs w:val="24"/>
        </w:rPr>
        <w:t>вать в качестве индикаторов, свидетельствующих о применимости метода признания выручки по степени готовн</w:t>
      </w:r>
      <w:r w:rsidRPr="009A3B65">
        <w:rPr>
          <w:rFonts w:ascii="Times New Roman" w:hAnsi="Times New Roman" w:cs="Times New Roman"/>
          <w:sz w:val="24"/>
          <w:szCs w:val="24"/>
        </w:rPr>
        <w:t>о</w:t>
      </w:r>
      <w:r w:rsidRPr="009A3B65">
        <w:rPr>
          <w:rFonts w:ascii="Times New Roman" w:hAnsi="Times New Roman" w:cs="Times New Roman"/>
          <w:sz w:val="24"/>
          <w:szCs w:val="24"/>
        </w:rPr>
        <w:t>сти.</w:t>
      </w:r>
    </w:p>
    <w:p w:rsidR="009A3B65" w:rsidRPr="009A3B65" w:rsidRDefault="009A3B65" w:rsidP="009A3B65">
      <w:pPr>
        <w:jc w:val="both"/>
        <w:rPr>
          <w:rFonts w:ascii="Times New Roman" w:hAnsi="Times New Roman" w:cs="Times New Roman"/>
          <w:sz w:val="24"/>
          <w:szCs w:val="24"/>
        </w:rPr>
      </w:pPr>
      <w:r w:rsidRPr="009A3B65">
        <w:rPr>
          <w:rFonts w:ascii="Times New Roman" w:hAnsi="Times New Roman" w:cs="Times New Roman"/>
          <w:sz w:val="24"/>
          <w:szCs w:val="24"/>
        </w:rPr>
        <w:t>Пункт 13 ПБУ 9/99 устанавливает возможность признания выручки (помимо работ и услуг) по мере готовности «продукции с длительным циклом изготовления». Понятие «длительного цикла» в ста</w:t>
      </w:r>
      <w:r w:rsidRPr="009A3B65">
        <w:rPr>
          <w:rFonts w:ascii="Times New Roman" w:hAnsi="Times New Roman" w:cs="Times New Roman"/>
          <w:sz w:val="24"/>
          <w:szCs w:val="24"/>
        </w:rPr>
        <w:t>н</w:t>
      </w:r>
      <w:r w:rsidRPr="009A3B65">
        <w:rPr>
          <w:rFonts w:ascii="Times New Roman" w:hAnsi="Times New Roman" w:cs="Times New Roman"/>
          <w:sz w:val="24"/>
          <w:szCs w:val="24"/>
        </w:rPr>
        <w:t>дарте не расши</w:t>
      </w:r>
      <w:r w:rsidRPr="009A3B65">
        <w:rPr>
          <w:rFonts w:ascii="Times New Roman" w:hAnsi="Times New Roman" w:cs="Times New Roman"/>
          <w:sz w:val="24"/>
          <w:szCs w:val="24"/>
        </w:rPr>
        <w:t>ф</w:t>
      </w:r>
      <w:r w:rsidRPr="009A3B65">
        <w:rPr>
          <w:rFonts w:ascii="Times New Roman" w:hAnsi="Times New Roman" w:cs="Times New Roman"/>
          <w:sz w:val="24"/>
          <w:szCs w:val="24"/>
        </w:rPr>
        <w:t>ровывается. Другой стандарт ПБУ 2/2008, регулирующий аналогичный вопрос, в этом смысле более конкретен. Так, согласно пункту 1 ПБУ 2/2008 это положение применяется орг</w:t>
      </w:r>
      <w:r w:rsidRPr="009A3B65">
        <w:rPr>
          <w:rFonts w:ascii="Times New Roman" w:hAnsi="Times New Roman" w:cs="Times New Roman"/>
          <w:sz w:val="24"/>
          <w:szCs w:val="24"/>
        </w:rPr>
        <w:t>а</w:t>
      </w:r>
      <w:r w:rsidRPr="009A3B65">
        <w:rPr>
          <w:rFonts w:ascii="Times New Roman" w:hAnsi="Times New Roman" w:cs="Times New Roman"/>
          <w:sz w:val="24"/>
          <w:szCs w:val="24"/>
        </w:rPr>
        <w:t>низациями, выступающими в качес</w:t>
      </w:r>
      <w:r w:rsidRPr="009A3B65">
        <w:rPr>
          <w:rFonts w:ascii="Times New Roman" w:hAnsi="Times New Roman" w:cs="Times New Roman"/>
          <w:sz w:val="24"/>
          <w:szCs w:val="24"/>
        </w:rPr>
        <w:t>т</w:t>
      </w:r>
      <w:r w:rsidRPr="009A3B65">
        <w:rPr>
          <w:rFonts w:ascii="Times New Roman" w:hAnsi="Times New Roman" w:cs="Times New Roman"/>
          <w:sz w:val="24"/>
          <w:szCs w:val="24"/>
        </w:rPr>
        <w:t>ве подрядчиков либо субподрядчиков в договорах строительного подряда, длительность выполнения которых составляет более одного отчётного года (долгосрочный характер) или сроки начала и окончания которых пр</w:t>
      </w:r>
      <w:r w:rsidRPr="009A3B65">
        <w:rPr>
          <w:rFonts w:ascii="Times New Roman" w:hAnsi="Times New Roman" w:cs="Times New Roman"/>
          <w:sz w:val="24"/>
          <w:szCs w:val="24"/>
        </w:rPr>
        <w:t>и</w:t>
      </w:r>
      <w:r w:rsidRPr="009A3B65">
        <w:rPr>
          <w:rFonts w:ascii="Times New Roman" w:hAnsi="Times New Roman" w:cs="Times New Roman"/>
          <w:sz w:val="24"/>
          <w:szCs w:val="24"/>
        </w:rPr>
        <w:t>ходятся на разные отчётные годы.</w:t>
      </w:r>
    </w:p>
    <w:p w:rsidR="009A3B65" w:rsidRPr="009A3B65" w:rsidRDefault="009A3B65" w:rsidP="009A3B65">
      <w:pPr>
        <w:jc w:val="both"/>
        <w:rPr>
          <w:rFonts w:ascii="Times New Roman" w:hAnsi="Times New Roman" w:cs="Times New Roman"/>
          <w:sz w:val="24"/>
          <w:szCs w:val="24"/>
        </w:rPr>
      </w:pPr>
      <w:r w:rsidRPr="009A3B65">
        <w:rPr>
          <w:rFonts w:ascii="Times New Roman" w:hAnsi="Times New Roman" w:cs="Times New Roman"/>
          <w:sz w:val="24"/>
          <w:szCs w:val="24"/>
        </w:rPr>
        <w:t>Такие формулировки обоснованы с точки зрения качества представляемой в бухгалтерской отчётн</w:t>
      </w:r>
      <w:r w:rsidRPr="009A3B65">
        <w:rPr>
          <w:rFonts w:ascii="Times New Roman" w:hAnsi="Times New Roman" w:cs="Times New Roman"/>
          <w:sz w:val="24"/>
          <w:szCs w:val="24"/>
        </w:rPr>
        <w:t>о</w:t>
      </w:r>
      <w:r w:rsidRPr="009A3B65">
        <w:rPr>
          <w:rFonts w:ascii="Times New Roman" w:hAnsi="Times New Roman" w:cs="Times New Roman"/>
          <w:sz w:val="24"/>
          <w:szCs w:val="24"/>
        </w:rPr>
        <w:t>сти информации. Признание выручки по степени готовности (когда этот метод уместен) позволяет реализовать в полной мере принцип начисления. Доход отражается в том периоде, когда он экон</w:t>
      </w:r>
      <w:r w:rsidRPr="009A3B65">
        <w:rPr>
          <w:rFonts w:ascii="Times New Roman" w:hAnsi="Times New Roman" w:cs="Times New Roman"/>
          <w:sz w:val="24"/>
          <w:szCs w:val="24"/>
        </w:rPr>
        <w:t>о</w:t>
      </w:r>
      <w:r w:rsidRPr="009A3B65">
        <w:rPr>
          <w:rFonts w:ascii="Times New Roman" w:hAnsi="Times New Roman" w:cs="Times New Roman"/>
          <w:sz w:val="24"/>
          <w:szCs w:val="24"/>
        </w:rPr>
        <w:t>мически возник, а не когда стороны оформили завершение договорных отношений. В этой связи н</w:t>
      </w:r>
      <w:r w:rsidRPr="009A3B65">
        <w:rPr>
          <w:rFonts w:ascii="Times New Roman" w:hAnsi="Times New Roman" w:cs="Times New Roman"/>
          <w:sz w:val="24"/>
          <w:szCs w:val="24"/>
        </w:rPr>
        <w:t>е</w:t>
      </w:r>
      <w:r w:rsidRPr="009A3B65">
        <w:rPr>
          <w:rFonts w:ascii="Times New Roman" w:hAnsi="Times New Roman" w:cs="Times New Roman"/>
          <w:sz w:val="24"/>
          <w:szCs w:val="24"/>
        </w:rPr>
        <w:t>обходимость признать выручку по степени готовности возникает тогда, когда часть договора выпо</w:t>
      </w:r>
      <w:r w:rsidRPr="009A3B65">
        <w:rPr>
          <w:rFonts w:ascii="Times New Roman" w:hAnsi="Times New Roman" w:cs="Times New Roman"/>
          <w:sz w:val="24"/>
          <w:szCs w:val="24"/>
        </w:rPr>
        <w:t>л</w:t>
      </w:r>
      <w:r w:rsidRPr="009A3B65">
        <w:rPr>
          <w:rFonts w:ascii="Times New Roman" w:hAnsi="Times New Roman" w:cs="Times New Roman"/>
          <w:sz w:val="24"/>
          <w:szCs w:val="24"/>
        </w:rPr>
        <w:t>нена продавцом по состоянию на конец отчётного года. Это относится к договорам продолжительн</w:t>
      </w:r>
      <w:r w:rsidRPr="009A3B65">
        <w:rPr>
          <w:rFonts w:ascii="Times New Roman" w:hAnsi="Times New Roman" w:cs="Times New Roman"/>
          <w:sz w:val="24"/>
          <w:szCs w:val="24"/>
        </w:rPr>
        <w:t>о</w:t>
      </w:r>
      <w:r w:rsidRPr="009A3B65">
        <w:rPr>
          <w:rFonts w:ascii="Times New Roman" w:hAnsi="Times New Roman" w:cs="Times New Roman"/>
          <w:sz w:val="24"/>
          <w:szCs w:val="24"/>
        </w:rPr>
        <w:t xml:space="preserve">стью </w:t>
      </w:r>
      <w:proofErr w:type="gramStart"/>
      <w:r w:rsidRPr="009A3B65">
        <w:rPr>
          <w:rFonts w:ascii="Times New Roman" w:hAnsi="Times New Roman" w:cs="Times New Roman"/>
          <w:sz w:val="24"/>
          <w:szCs w:val="24"/>
        </w:rPr>
        <w:t>более отчётного</w:t>
      </w:r>
      <w:proofErr w:type="gramEnd"/>
      <w:r w:rsidRPr="009A3B65">
        <w:rPr>
          <w:rFonts w:ascii="Times New Roman" w:hAnsi="Times New Roman" w:cs="Times New Roman"/>
          <w:sz w:val="24"/>
          <w:szCs w:val="24"/>
        </w:rPr>
        <w:t xml:space="preserve"> года, а также к менее продо</w:t>
      </w:r>
      <w:r w:rsidRPr="009A3B65">
        <w:rPr>
          <w:rFonts w:ascii="Times New Roman" w:hAnsi="Times New Roman" w:cs="Times New Roman"/>
          <w:sz w:val="24"/>
          <w:szCs w:val="24"/>
        </w:rPr>
        <w:t>л</w:t>
      </w:r>
      <w:r w:rsidRPr="009A3B65">
        <w:rPr>
          <w:rFonts w:ascii="Times New Roman" w:hAnsi="Times New Roman" w:cs="Times New Roman"/>
          <w:sz w:val="24"/>
          <w:szCs w:val="24"/>
        </w:rPr>
        <w:t>жительным договорам, в которых сроки начала и окончания приходятся на разные отчётные годы. Для целей промежуточной отчётности этот аспект не принципиален. Также он не принципиален для случаев, когда его выполненная до конца отчётн</w:t>
      </w:r>
      <w:r w:rsidRPr="009A3B65">
        <w:rPr>
          <w:rFonts w:ascii="Times New Roman" w:hAnsi="Times New Roman" w:cs="Times New Roman"/>
          <w:sz w:val="24"/>
          <w:szCs w:val="24"/>
        </w:rPr>
        <w:t>о</w:t>
      </w:r>
      <w:r w:rsidRPr="009A3B65">
        <w:rPr>
          <w:rFonts w:ascii="Times New Roman" w:hAnsi="Times New Roman" w:cs="Times New Roman"/>
          <w:sz w:val="24"/>
          <w:szCs w:val="24"/>
        </w:rPr>
        <w:t>го года часть не является существенной.</w:t>
      </w:r>
    </w:p>
    <w:p w:rsidR="007E29C1" w:rsidRPr="00580723" w:rsidRDefault="007E29C1" w:rsidP="009A3B65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Cs w:val="24"/>
        </w:rPr>
      </w:pPr>
    </w:p>
    <w:sectPr w:rsidR="007E29C1" w:rsidRPr="00580723" w:rsidSect="00FB2713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0" w:footer="62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48D" w:rsidRDefault="00AB748D" w:rsidP="003F7FE8">
      <w:pPr>
        <w:spacing w:after="0" w:line="240" w:lineRule="auto"/>
      </w:pPr>
      <w:r>
        <w:separator/>
      </w:r>
    </w:p>
  </w:endnote>
  <w:endnote w:type="continuationSeparator" w:id="0">
    <w:p w:rsidR="00AB748D" w:rsidRDefault="00AB748D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434620"/>
      <w:docPartObj>
        <w:docPartGallery w:val="Page Numbers (Bottom of Page)"/>
        <w:docPartUnique/>
      </w:docPartObj>
    </w:sdtPr>
    <w:sdtContent>
      <w:p w:rsidR="00324504" w:rsidRPr="00C2793C" w:rsidRDefault="00C2793C" w:rsidP="00C2793C">
        <w:pPr>
          <w:pStyle w:val="af9"/>
          <w:jc w:val="right"/>
        </w:pPr>
        <w:r>
          <w:rPr>
            <w:lang w:val="en-US"/>
          </w:rPr>
          <w:t xml:space="preserve"> </w:t>
        </w:r>
        <w:r w:rsidR="00717A65">
          <w:fldChar w:fldCharType="begin"/>
        </w:r>
        <w:r w:rsidR="00324504">
          <w:instrText>PAGE   \* MERGEFORMAT</w:instrText>
        </w:r>
        <w:r w:rsidR="00717A65">
          <w:fldChar w:fldCharType="separate"/>
        </w:r>
        <w:r w:rsidR="009A3B65">
          <w:rPr>
            <w:noProof/>
          </w:rPr>
          <w:t>2</w:t>
        </w:r>
        <w:r w:rsidR="00717A65"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521297"/>
      <w:docPartObj>
        <w:docPartGallery w:val="Page Numbers (Bottom of Page)"/>
        <w:docPartUnique/>
      </w:docPartObj>
    </w:sdtPr>
    <w:sdtContent>
      <w:p w:rsidR="00324504" w:rsidRDefault="00717A65">
        <w:pPr>
          <w:pStyle w:val="af9"/>
          <w:jc w:val="right"/>
        </w:pPr>
        <w:r>
          <w:fldChar w:fldCharType="begin"/>
        </w:r>
        <w:r w:rsidR="00324504">
          <w:instrText>PAGE   \* MERGEFORMAT</w:instrText>
        </w:r>
        <w:r>
          <w:fldChar w:fldCharType="separate"/>
        </w:r>
        <w:r w:rsidR="009A3B65">
          <w:rPr>
            <w:noProof/>
          </w:rPr>
          <w:t>1</w:t>
        </w:r>
        <w:r>
          <w:fldChar w:fldCharType="end"/>
        </w:r>
      </w:p>
    </w:sdtContent>
  </w:sdt>
  <w:p w:rsidR="00324504" w:rsidRDefault="00324504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48D" w:rsidRDefault="00AB748D" w:rsidP="003F7FE8">
      <w:pPr>
        <w:spacing w:after="0" w:line="240" w:lineRule="auto"/>
      </w:pPr>
      <w:r>
        <w:separator/>
      </w:r>
    </w:p>
  </w:footnote>
  <w:footnote w:type="continuationSeparator" w:id="0">
    <w:p w:rsidR="00AB748D" w:rsidRDefault="00AB748D" w:rsidP="003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2F" w:rsidRDefault="00B5272F">
    <w:pPr>
      <w:pStyle w:val="af7"/>
    </w:pPr>
  </w:p>
  <w:p w:rsidR="00B5272F" w:rsidRDefault="00B5272F">
    <w:pPr>
      <w:pStyle w:val="af7"/>
    </w:pPr>
  </w:p>
  <w:p w:rsidR="00B5272F" w:rsidRDefault="00B5272F">
    <w:pPr>
      <w:pStyle w:val="af7"/>
    </w:pPr>
    <w:r w:rsidRPr="00B5272F">
      <w:rPr>
        <w:noProof/>
      </w:rPr>
      <w:drawing>
        <wp:inline distT="0" distB="0" distL="0" distR="0">
          <wp:extent cx="819397" cy="307274"/>
          <wp:effectExtent l="0" t="0" r="0" b="0"/>
          <wp:docPr id="3" name="Рисунок 3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DF6"/>
    <w:multiLevelType w:val="hybridMultilevel"/>
    <w:tmpl w:val="3E0E1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048EB"/>
    <w:multiLevelType w:val="multilevel"/>
    <w:tmpl w:val="2C6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A595F"/>
    <w:multiLevelType w:val="multilevel"/>
    <w:tmpl w:val="2C6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D6A0C"/>
    <w:multiLevelType w:val="multilevel"/>
    <w:tmpl w:val="30520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855A9"/>
    <w:multiLevelType w:val="hybridMultilevel"/>
    <w:tmpl w:val="E9EC81BE"/>
    <w:lvl w:ilvl="0" w:tplc="663A1E54">
      <w:start w:val="1"/>
      <w:numFmt w:val="decimal"/>
      <w:lvlText w:val="Пример %1."/>
      <w:lvlJc w:val="left"/>
      <w:pPr>
        <w:ind w:left="1287" w:hanging="360"/>
      </w:pPr>
      <w:rPr>
        <w:rFonts w:hint="default"/>
        <w:color w:val="C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311D5A"/>
    <w:multiLevelType w:val="hybridMultilevel"/>
    <w:tmpl w:val="8D0A3586"/>
    <w:lvl w:ilvl="0" w:tplc="CE2053C2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1577A"/>
    <w:multiLevelType w:val="hybridMultilevel"/>
    <w:tmpl w:val="7C4E4722"/>
    <w:lvl w:ilvl="0" w:tplc="4F664F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C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6E2796"/>
    <w:multiLevelType w:val="hybridMultilevel"/>
    <w:tmpl w:val="55FC2A42"/>
    <w:lvl w:ilvl="0" w:tplc="12DE4F6C">
      <w:start w:val="1"/>
      <w:numFmt w:val="bullet"/>
      <w:pStyle w:val="a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C048C1"/>
    <w:multiLevelType w:val="hybridMultilevel"/>
    <w:tmpl w:val="72F800DE"/>
    <w:lvl w:ilvl="0" w:tplc="AC22295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97C6D64"/>
    <w:multiLevelType w:val="hybridMultilevel"/>
    <w:tmpl w:val="EC587108"/>
    <w:lvl w:ilvl="0" w:tplc="AC222954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DCC529B"/>
    <w:multiLevelType w:val="hybridMultilevel"/>
    <w:tmpl w:val="CEC02976"/>
    <w:lvl w:ilvl="0" w:tplc="A7D07156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773BB"/>
    <w:multiLevelType w:val="hybridMultilevel"/>
    <w:tmpl w:val="98DE12A6"/>
    <w:lvl w:ilvl="0" w:tplc="AC2229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55CFE"/>
    <w:multiLevelType w:val="hybridMultilevel"/>
    <w:tmpl w:val="AADA091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56224"/>
    <w:multiLevelType w:val="multilevel"/>
    <w:tmpl w:val="2C6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C36E5D"/>
    <w:multiLevelType w:val="multilevel"/>
    <w:tmpl w:val="2C6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1B4036"/>
    <w:multiLevelType w:val="hybridMultilevel"/>
    <w:tmpl w:val="9E5A865C"/>
    <w:lvl w:ilvl="0" w:tplc="AC222954">
      <w:start w:val="1"/>
      <w:numFmt w:val="russianLower"/>
      <w:pStyle w:val="a2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7CA4BEF"/>
    <w:multiLevelType w:val="hybridMultilevel"/>
    <w:tmpl w:val="992818E8"/>
    <w:lvl w:ilvl="0" w:tplc="AC2229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573785"/>
    <w:multiLevelType w:val="hybridMultilevel"/>
    <w:tmpl w:val="99DAD764"/>
    <w:lvl w:ilvl="0" w:tplc="AC222954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9754F"/>
    <w:multiLevelType w:val="hybridMultilevel"/>
    <w:tmpl w:val="4ED82212"/>
    <w:lvl w:ilvl="0" w:tplc="7D0E0FEC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24787716" w:tentative="1">
      <w:start w:val="1"/>
      <w:numFmt w:val="lowerLetter"/>
      <w:lvlText w:val="%2."/>
      <w:lvlJc w:val="left"/>
      <w:pPr>
        <w:ind w:left="1440" w:hanging="360"/>
      </w:pPr>
    </w:lvl>
    <w:lvl w:ilvl="2" w:tplc="E766CD66" w:tentative="1">
      <w:start w:val="1"/>
      <w:numFmt w:val="lowerRoman"/>
      <w:lvlText w:val="%3."/>
      <w:lvlJc w:val="right"/>
      <w:pPr>
        <w:ind w:left="2160" w:hanging="180"/>
      </w:pPr>
    </w:lvl>
    <w:lvl w:ilvl="3" w:tplc="741A7002" w:tentative="1">
      <w:start w:val="1"/>
      <w:numFmt w:val="decimal"/>
      <w:lvlText w:val="%4."/>
      <w:lvlJc w:val="left"/>
      <w:pPr>
        <w:ind w:left="2880" w:hanging="360"/>
      </w:pPr>
    </w:lvl>
    <w:lvl w:ilvl="4" w:tplc="6164AFFA" w:tentative="1">
      <w:start w:val="1"/>
      <w:numFmt w:val="lowerLetter"/>
      <w:lvlText w:val="%5."/>
      <w:lvlJc w:val="left"/>
      <w:pPr>
        <w:ind w:left="3600" w:hanging="360"/>
      </w:pPr>
    </w:lvl>
    <w:lvl w:ilvl="5" w:tplc="8B000B74" w:tentative="1">
      <w:start w:val="1"/>
      <w:numFmt w:val="lowerRoman"/>
      <w:lvlText w:val="%6."/>
      <w:lvlJc w:val="right"/>
      <w:pPr>
        <w:ind w:left="4320" w:hanging="180"/>
      </w:pPr>
    </w:lvl>
    <w:lvl w:ilvl="6" w:tplc="B280442E" w:tentative="1">
      <w:start w:val="1"/>
      <w:numFmt w:val="decimal"/>
      <w:lvlText w:val="%7."/>
      <w:lvlJc w:val="left"/>
      <w:pPr>
        <w:ind w:left="5040" w:hanging="360"/>
      </w:pPr>
    </w:lvl>
    <w:lvl w:ilvl="7" w:tplc="01708014" w:tentative="1">
      <w:start w:val="1"/>
      <w:numFmt w:val="lowerLetter"/>
      <w:lvlText w:val="%8."/>
      <w:lvlJc w:val="left"/>
      <w:pPr>
        <w:ind w:left="5760" w:hanging="360"/>
      </w:pPr>
    </w:lvl>
    <w:lvl w:ilvl="8" w:tplc="1CB0F5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1"/>
  </w:num>
  <w:num w:numId="8">
    <w:abstractNumId w:val="17"/>
  </w:num>
  <w:num w:numId="9">
    <w:abstractNumId w:val="15"/>
  </w:num>
  <w:num w:numId="10">
    <w:abstractNumId w:val="14"/>
  </w:num>
  <w:num w:numId="11">
    <w:abstractNumId w:val="2"/>
  </w:num>
  <w:num w:numId="12">
    <w:abstractNumId w:val="18"/>
  </w:num>
  <w:num w:numId="13">
    <w:abstractNumId w:val="4"/>
  </w:num>
  <w:num w:numId="14">
    <w:abstractNumId w:val="5"/>
  </w:num>
  <w:num w:numId="15">
    <w:abstractNumId w:val="11"/>
  </w:num>
  <w:num w:numId="16">
    <w:abstractNumId w:val="19"/>
  </w:num>
  <w:num w:numId="17">
    <w:abstractNumId w:val="0"/>
  </w:num>
  <w:num w:numId="18">
    <w:abstractNumId w:val="10"/>
  </w:num>
  <w:num w:numId="19">
    <w:abstractNumId w:val="13"/>
  </w:num>
  <w:num w:numId="20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78F"/>
    <w:rsid w:val="00000CB9"/>
    <w:rsid w:val="0000147A"/>
    <w:rsid w:val="0000167A"/>
    <w:rsid w:val="000017D6"/>
    <w:rsid w:val="00001E34"/>
    <w:rsid w:val="00004603"/>
    <w:rsid w:val="00006D5D"/>
    <w:rsid w:val="0000729B"/>
    <w:rsid w:val="00007396"/>
    <w:rsid w:val="00007A1B"/>
    <w:rsid w:val="00010171"/>
    <w:rsid w:val="00010B17"/>
    <w:rsid w:val="00010E65"/>
    <w:rsid w:val="00011D36"/>
    <w:rsid w:val="00013342"/>
    <w:rsid w:val="00013EF8"/>
    <w:rsid w:val="00014EBE"/>
    <w:rsid w:val="00015233"/>
    <w:rsid w:val="000248EF"/>
    <w:rsid w:val="0002496A"/>
    <w:rsid w:val="00024D7D"/>
    <w:rsid w:val="00025A7F"/>
    <w:rsid w:val="00025DFD"/>
    <w:rsid w:val="0002782A"/>
    <w:rsid w:val="00027A57"/>
    <w:rsid w:val="00032669"/>
    <w:rsid w:val="00033744"/>
    <w:rsid w:val="00035AD3"/>
    <w:rsid w:val="00035BBE"/>
    <w:rsid w:val="000365AF"/>
    <w:rsid w:val="00036EAF"/>
    <w:rsid w:val="000401F4"/>
    <w:rsid w:val="0004036F"/>
    <w:rsid w:val="000403BE"/>
    <w:rsid w:val="000408EF"/>
    <w:rsid w:val="00040E9E"/>
    <w:rsid w:val="00040FC1"/>
    <w:rsid w:val="00042902"/>
    <w:rsid w:val="00042B25"/>
    <w:rsid w:val="000432DC"/>
    <w:rsid w:val="000438C1"/>
    <w:rsid w:val="00045502"/>
    <w:rsid w:val="00045FF5"/>
    <w:rsid w:val="0004628A"/>
    <w:rsid w:val="0004636C"/>
    <w:rsid w:val="00047E2E"/>
    <w:rsid w:val="000512AB"/>
    <w:rsid w:val="000531D7"/>
    <w:rsid w:val="000537BC"/>
    <w:rsid w:val="00056B81"/>
    <w:rsid w:val="0005724B"/>
    <w:rsid w:val="000573CF"/>
    <w:rsid w:val="000602C3"/>
    <w:rsid w:val="00060736"/>
    <w:rsid w:val="000608B3"/>
    <w:rsid w:val="00061140"/>
    <w:rsid w:val="00061813"/>
    <w:rsid w:val="0006279E"/>
    <w:rsid w:val="00063672"/>
    <w:rsid w:val="0006386A"/>
    <w:rsid w:val="00066BE5"/>
    <w:rsid w:val="000677B4"/>
    <w:rsid w:val="0007118E"/>
    <w:rsid w:val="00071E4B"/>
    <w:rsid w:val="000738BA"/>
    <w:rsid w:val="00074A4A"/>
    <w:rsid w:val="00074ADE"/>
    <w:rsid w:val="00075B21"/>
    <w:rsid w:val="00075E65"/>
    <w:rsid w:val="000770FD"/>
    <w:rsid w:val="000774C7"/>
    <w:rsid w:val="00077846"/>
    <w:rsid w:val="0008053C"/>
    <w:rsid w:val="00080F62"/>
    <w:rsid w:val="0008161B"/>
    <w:rsid w:val="00082571"/>
    <w:rsid w:val="000827B6"/>
    <w:rsid w:val="00082CA3"/>
    <w:rsid w:val="00084E88"/>
    <w:rsid w:val="00084FB0"/>
    <w:rsid w:val="00085253"/>
    <w:rsid w:val="000852D1"/>
    <w:rsid w:val="00085932"/>
    <w:rsid w:val="00086AF4"/>
    <w:rsid w:val="00087766"/>
    <w:rsid w:val="0009012F"/>
    <w:rsid w:val="0009069B"/>
    <w:rsid w:val="00091B0A"/>
    <w:rsid w:val="000927A1"/>
    <w:rsid w:val="00093C60"/>
    <w:rsid w:val="00094C84"/>
    <w:rsid w:val="00095AC8"/>
    <w:rsid w:val="000A08CD"/>
    <w:rsid w:val="000A18C5"/>
    <w:rsid w:val="000A294A"/>
    <w:rsid w:val="000A7A11"/>
    <w:rsid w:val="000A7C01"/>
    <w:rsid w:val="000B011E"/>
    <w:rsid w:val="000B11E7"/>
    <w:rsid w:val="000B1D5C"/>
    <w:rsid w:val="000B2530"/>
    <w:rsid w:val="000B2F55"/>
    <w:rsid w:val="000B30B6"/>
    <w:rsid w:val="000B3F95"/>
    <w:rsid w:val="000B4694"/>
    <w:rsid w:val="000B4A45"/>
    <w:rsid w:val="000B4C6F"/>
    <w:rsid w:val="000B52D1"/>
    <w:rsid w:val="000B63FC"/>
    <w:rsid w:val="000B690E"/>
    <w:rsid w:val="000B7F0C"/>
    <w:rsid w:val="000C25B9"/>
    <w:rsid w:val="000C381A"/>
    <w:rsid w:val="000C40E5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E24BB"/>
    <w:rsid w:val="000E26F7"/>
    <w:rsid w:val="000E35B5"/>
    <w:rsid w:val="000E571B"/>
    <w:rsid w:val="000E5A5A"/>
    <w:rsid w:val="000E6060"/>
    <w:rsid w:val="000E6FF4"/>
    <w:rsid w:val="000E7515"/>
    <w:rsid w:val="000E76F5"/>
    <w:rsid w:val="000F0104"/>
    <w:rsid w:val="000F0C40"/>
    <w:rsid w:val="000F2562"/>
    <w:rsid w:val="000F27F5"/>
    <w:rsid w:val="000F2AA6"/>
    <w:rsid w:val="000F38D1"/>
    <w:rsid w:val="000F430C"/>
    <w:rsid w:val="000F6972"/>
    <w:rsid w:val="00101091"/>
    <w:rsid w:val="001063EE"/>
    <w:rsid w:val="0010702F"/>
    <w:rsid w:val="00107F34"/>
    <w:rsid w:val="00107FCF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6369"/>
    <w:rsid w:val="00123F61"/>
    <w:rsid w:val="0012552D"/>
    <w:rsid w:val="0012617A"/>
    <w:rsid w:val="00127FBE"/>
    <w:rsid w:val="00130257"/>
    <w:rsid w:val="0013103C"/>
    <w:rsid w:val="001330C5"/>
    <w:rsid w:val="00133B73"/>
    <w:rsid w:val="00133F09"/>
    <w:rsid w:val="001365D7"/>
    <w:rsid w:val="00137B9C"/>
    <w:rsid w:val="00137C21"/>
    <w:rsid w:val="001411CC"/>
    <w:rsid w:val="001417F8"/>
    <w:rsid w:val="0014257A"/>
    <w:rsid w:val="00145404"/>
    <w:rsid w:val="00145A9D"/>
    <w:rsid w:val="00145D33"/>
    <w:rsid w:val="00146FD0"/>
    <w:rsid w:val="00147184"/>
    <w:rsid w:val="001501CC"/>
    <w:rsid w:val="00150419"/>
    <w:rsid w:val="00150DA8"/>
    <w:rsid w:val="00152CD0"/>
    <w:rsid w:val="001560A5"/>
    <w:rsid w:val="001563EC"/>
    <w:rsid w:val="00157128"/>
    <w:rsid w:val="001578B0"/>
    <w:rsid w:val="00164790"/>
    <w:rsid w:val="0016579F"/>
    <w:rsid w:val="00165899"/>
    <w:rsid w:val="00170705"/>
    <w:rsid w:val="00171535"/>
    <w:rsid w:val="00171665"/>
    <w:rsid w:val="00172500"/>
    <w:rsid w:val="00172C5D"/>
    <w:rsid w:val="00173A64"/>
    <w:rsid w:val="00173F02"/>
    <w:rsid w:val="00174033"/>
    <w:rsid w:val="00174954"/>
    <w:rsid w:val="0017601B"/>
    <w:rsid w:val="001763CD"/>
    <w:rsid w:val="0018062B"/>
    <w:rsid w:val="00180F68"/>
    <w:rsid w:val="001818ED"/>
    <w:rsid w:val="00184794"/>
    <w:rsid w:val="00184925"/>
    <w:rsid w:val="00185849"/>
    <w:rsid w:val="00186123"/>
    <w:rsid w:val="0018640E"/>
    <w:rsid w:val="001873A7"/>
    <w:rsid w:val="001903B1"/>
    <w:rsid w:val="0019312F"/>
    <w:rsid w:val="00194300"/>
    <w:rsid w:val="00195C02"/>
    <w:rsid w:val="00195C86"/>
    <w:rsid w:val="00195F84"/>
    <w:rsid w:val="00196AC2"/>
    <w:rsid w:val="0019724F"/>
    <w:rsid w:val="001A0E01"/>
    <w:rsid w:val="001A459E"/>
    <w:rsid w:val="001A57FB"/>
    <w:rsid w:val="001A7318"/>
    <w:rsid w:val="001A7BC7"/>
    <w:rsid w:val="001B0572"/>
    <w:rsid w:val="001B17BE"/>
    <w:rsid w:val="001B2327"/>
    <w:rsid w:val="001B259D"/>
    <w:rsid w:val="001B3B31"/>
    <w:rsid w:val="001B3F87"/>
    <w:rsid w:val="001B4457"/>
    <w:rsid w:val="001B4CA1"/>
    <w:rsid w:val="001B4D34"/>
    <w:rsid w:val="001B517A"/>
    <w:rsid w:val="001B7C14"/>
    <w:rsid w:val="001B7DBD"/>
    <w:rsid w:val="001C0338"/>
    <w:rsid w:val="001C1C15"/>
    <w:rsid w:val="001C284C"/>
    <w:rsid w:val="001C2EFB"/>
    <w:rsid w:val="001C2FD5"/>
    <w:rsid w:val="001C4104"/>
    <w:rsid w:val="001C510F"/>
    <w:rsid w:val="001C5E3A"/>
    <w:rsid w:val="001C6887"/>
    <w:rsid w:val="001D00F9"/>
    <w:rsid w:val="001D03D5"/>
    <w:rsid w:val="001D0EE3"/>
    <w:rsid w:val="001D2081"/>
    <w:rsid w:val="001D3032"/>
    <w:rsid w:val="001D4142"/>
    <w:rsid w:val="001D47B7"/>
    <w:rsid w:val="001D49DA"/>
    <w:rsid w:val="001D7111"/>
    <w:rsid w:val="001E0891"/>
    <w:rsid w:val="001E1490"/>
    <w:rsid w:val="001E1DF7"/>
    <w:rsid w:val="001E2DE1"/>
    <w:rsid w:val="001E3482"/>
    <w:rsid w:val="001E3A46"/>
    <w:rsid w:val="001E3CF2"/>
    <w:rsid w:val="001E4564"/>
    <w:rsid w:val="001E52E1"/>
    <w:rsid w:val="001F0787"/>
    <w:rsid w:val="001F0BA3"/>
    <w:rsid w:val="001F2406"/>
    <w:rsid w:val="001F2F6E"/>
    <w:rsid w:val="001F402F"/>
    <w:rsid w:val="001F4354"/>
    <w:rsid w:val="001F6238"/>
    <w:rsid w:val="001F7985"/>
    <w:rsid w:val="001F7C1D"/>
    <w:rsid w:val="00201467"/>
    <w:rsid w:val="00202EF3"/>
    <w:rsid w:val="00204254"/>
    <w:rsid w:val="0020555C"/>
    <w:rsid w:val="00205582"/>
    <w:rsid w:val="00207449"/>
    <w:rsid w:val="002075F7"/>
    <w:rsid w:val="002103D3"/>
    <w:rsid w:val="002112BB"/>
    <w:rsid w:val="00211784"/>
    <w:rsid w:val="002119F6"/>
    <w:rsid w:val="00211F97"/>
    <w:rsid w:val="0021299C"/>
    <w:rsid w:val="0021311F"/>
    <w:rsid w:val="0021498F"/>
    <w:rsid w:val="00214AFB"/>
    <w:rsid w:val="00214BDD"/>
    <w:rsid w:val="00215E9D"/>
    <w:rsid w:val="002162DD"/>
    <w:rsid w:val="00217A62"/>
    <w:rsid w:val="00220E9B"/>
    <w:rsid w:val="00221630"/>
    <w:rsid w:val="00222041"/>
    <w:rsid w:val="0022281C"/>
    <w:rsid w:val="002231EF"/>
    <w:rsid w:val="00223345"/>
    <w:rsid w:val="00223457"/>
    <w:rsid w:val="00223751"/>
    <w:rsid w:val="002254B3"/>
    <w:rsid w:val="00226625"/>
    <w:rsid w:val="00227705"/>
    <w:rsid w:val="002309AC"/>
    <w:rsid w:val="00231947"/>
    <w:rsid w:val="002352DF"/>
    <w:rsid w:val="0023541F"/>
    <w:rsid w:val="0023598B"/>
    <w:rsid w:val="00236142"/>
    <w:rsid w:val="00236493"/>
    <w:rsid w:val="002365C2"/>
    <w:rsid w:val="0024255D"/>
    <w:rsid w:val="002427EB"/>
    <w:rsid w:val="00243737"/>
    <w:rsid w:val="0024686B"/>
    <w:rsid w:val="0024696B"/>
    <w:rsid w:val="00247916"/>
    <w:rsid w:val="00250157"/>
    <w:rsid w:val="00251A75"/>
    <w:rsid w:val="00252551"/>
    <w:rsid w:val="002525C1"/>
    <w:rsid w:val="002533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1F39"/>
    <w:rsid w:val="00262769"/>
    <w:rsid w:val="00263551"/>
    <w:rsid w:val="00264B8D"/>
    <w:rsid w:val="00265918"/>
    <w:rsid w:val="00265BF1"/>
    <w:rsid w:val="00266987"/>
    <w:rsid w:val="00267630"/>
    <w:rsid w:val="00270EA2"/>
    <w:rsid w:val="00271A32"/>
    <w:rsid w:val="00271A33"/>
    <w:rsid w:val="00271C84"/>
    <w:rsid w:val="0027374C"/>
    <w:rsid w:val="002742E4"/>
    <w:rsid w:val="002751AF"/>
    <w:rsid w:val="00275E36"/>
    <w:rsid w:val="002760D0"/>
    <w:rsid w:val="00276A8B"/>
    <w:rsid w:val="00277811"/>
    <w:rsid w:val="002800D2"/>
    <w:rsid w:val="00280441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CF"/>
    <w:rsid w:val="002A6D51"/>
    <w:rsid w:val="002A6FC1"/>
    <w:rsid w:val="002A7FD8"/>
    <w:rsid w:val="002B0931"/>
    <w:rsid w:val="002B0F28"/>
    <w:rsid w:val="002B2509"/>
    <w:rsid w:val="002B41F5"/>
    <w:rsid w:val="002B5350"/>
    <w:rsid w:val="002B53A2"/>
    <w:rsid w:val="002B564C"/>
    <w:rsid w:val="002B6499"/>
    <w:rsid w:val="002B64A1"/>
    <w:rsid w:val="002B69B1"/>
    <w:rsid w:val="002B6CC3"/>
    <w:rsid w:val="002B755C"/>
    <w:rsid w:val="002C0548"/>
    <w:rsid w:val="002C1FB9"/>
    <w:rsid w:val="002C2092"/>
    <w:rsid w:val="002C2136"/>
    <w:rsid w:val="002C483E"/>
    <w:rsid w:val="002C50D5"/>
    <w:rsid w:val="002C52FD"/>
    <w:rsid w:val="002C54A1"/>
    <w:rsid w:val="002C61BE"/>
    <w:rsid w:val="002C6E14"/>
    <w:rsid w:val="002D20A9"/>
    <w:rsid w:val="002D31F4"/>
    <w:rsid w:val="002D3565"/>
    <w:rsid w:val="002D5578"/>
    <w:rsid w:val="002D7172"/>
    <w:rsid w:val="002D79B9"/>
    <w:rsid w:val="002E0BDD"/>
    <w:rsid w:val="002E16E8"/>
    <w:rsid w:val="002E34AC"/>
    <w:rsid w:val="002E3980"/>
    <w:rsid w:val="002E447E"/>
    <w:rsid w:val="002E50BD"/>
    <w:rsid w:val="002E7CC3"/>
    <w:rsid w:val="002F0B86"/>
    <w:rsid w:val="002F244D"/>
    <w:rsid w:val="002F24BE"/>
    <w:rsid w:val="002F3EDE"/>
    <w:rsid w:val="002F6383"/>
    <w:rsid w:val="002F6967"/>
    <w:rsid w:val="002F7CC5"/>
    <w:rsid w:val="0030034E"/>
    <w:rsid w:val="003008BF"/>
    <w:rsid w:val="00301CD0"/>
    <w:rsid w:val="003025E4"/>
    <w:rsid w:val="00302699"/>
    <w:rsid w:val="00303837"/>
    <w:rsid w:val="003045D2"/>
    <w:rsid w:val="00306B08"/>
    <w:rsid w:val="00307F32"/>
    <w:rsid w:val="0031036A"/>
    <w:rsid w:val="00310446"/>
    <w:rsid w:val="00310797"/>
    <w:rsid w:val="0031112E"/>
    <w:rsid w:val="0031142A"/>
    <w:rsid w:val="00311C7F"/>
    <w:rsid w:val="003126FD"/>
    <w:rsid w:val="0031458B"/>
    <w:rsid w:val="00315585"/>
    <w:rsid w:val="0031644F"/>
    <w:rsid w:val="00317959"/>
    <w:rsid w:val="00321B1D"/>
    <w:rsid w:val="00321EF7"/>
    <w:rsid w:val="00323DB9"/>
    <w:rsid w:val="00324504"/>
    <w:rsid w:val="00324BF6"/>
    <w:rsid w:val="003261A1"/>
    <w:rsid w:val="00326756"/>
    <w:rsid w:val="0032676B"/>
    <w:rsid w:val="00327445"/>
    <w:rsid w:val="003277CE"/>
    <w:rsid w:val="00327BC7"/>
    <w:rsid w:val="00330D65"/>
    <w:rsid w:val="0033238F"/>
    <w:rsid w:val="003327F5"/>
    <w:rsid w:val="00334802"/>
    <w:rsid w:val="00335A09"/>
    <w:rsid w:val="00335D3A"/>
    <w:rsid w:val="0033684C"/>
    <w:rsid w:val="00336A4D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E2A"/>
    <w:rsid w:val="0035066E"/>
    <w:rsid w:val="00350935"/>
    <w:rsid w:val="00351AE9"/>
    <w:rsid w:val="00351EF5"/>
    <w:rsid w:val="00351FEF"/>
    <w:rsid w:val="00352BC2"/>
    <w:rsid w:val="00353011"/>
    <w:rsid w:val="0035749E"/>
    <w:rsid w:val="00360C90"/>
    <w:rsid w:val="003621EC"/>
    <w:rsid w:val="00362270"/>
    <w:rsid w:val="00362CC9"/>
    <w:rsid w:val="00365445"/>
    <w:rsid w:val="0036708E"/>
    <w:rsid w:val="003679F9"/>
    <w:rsid w:val="003704B4"/>
    <w:rsid w:val="003729EB"/>
    <w:rsid w:val="003730FA"/>
    <w:rsid w:val="003738E3"/>
    <w:rsid w:val="003741F9"/>
    <w:rsid w:val="003750F4"/>
    <w:rsid w:val="003772FC"/>
    <w:rsid w:val="003809EB"/>
    <w:rsid w:val="0038218F"/>
    <w:rsid w:val="003842FD"/>
    <w:rsid w:val="00384B7E"/>
    <w:rsid w:val="00386F24"/>
    <w:rsid w:val="00390AAE"/>
    <w:rsid w:val="00391782"/>
    <w:rsid w:val="003922F3"/>
    <w:rsid w:val="003932D2"/>
    <w:rsid w:val="00393EB3"/>
    <w:rsid w:val="0039475B"/>
    <w:rsid w:val="00394814"/>
    <w:rsid w:val="003955CA"/>
    <w:rsid w:val="0039696F"/>
    <w:rsid w:val="00396DD3"/>
    <w:rsid w:val="003978E0"/>
    <w:rsid w:val="003978E7"/>
    <w:rsid w:val="0039795E"/>
    <w:rsid w:val="003A1324"/>
    <w:rsid w:val="003A1336"/>
    <w:rsid w:val="003A2732"/>
    <w:rsid w:val="003A27B4"/>
    <w:rsid w:val="003A606C"/>
    <w:rsid w:val="003A64F8"/>
    <w:rsid w:val="003A6F01"/>
    <w:rsid w:val="003B0C51"/>
    <w:rsid w:val="003B0ECD"/>
    <w:rsid w:val="003B1417"/>
    <w:rsid w:val="003B1696"/>
    <w:rsid w:val="003B1A5F"/>
    <w:rsid w:val="003B1EFB"/>
    <w:rsid w:val="003B290B"/>
    <w:rsid w:val="003B318D"/>
    <w:rsid w:val="003B36FF"/>
    <w:rsid w:val="003B4ED4"/>
    <w:rsid w:val="003B53E1"/>
    <w:rsid w:val="003B7BC9"/>
    <w:rsid w:val="003C049B"/>
    <w:rsid w:val="003C05B8"/>
    <w:rsid w:val="003C0C78"/>
    <w:rsid w:val="003C0F91"/>
    <w:rsid w:val="003C1C8F"/>
    <w:rsid w:val="003C2C47"/>
    <w:rsid w:val="003C2E27"/>
    <w:rsid w:val="003C6BD0"/>
    <w:rsid w:val="003C7264"/>
    <w:rsid w:val="003C7E9B"/>
    <w:rsid w:val="003C7FFE"/>
    <w:rsid w:val="003D11B1"/>
    <w:rsid w:val="003D2932"/>
    <w:rsid w:val="003D2C90"/>
    <w:rsid w:val="003D30C8"/>
    <w:rsid w:val="003D4779"/>
    <w:rsid w:val="003D4B0F"/>
    <w:rsid w:val="003D5701"/>
    <w:rsid w:val="003D7502"/>
    <w:rsid w:val="003E009A"/>
    <w:rsid w:val="003E07EE"/>
    <w:rsid w:val="003E0C40"/>
    <w:rsid w:val="003E2247"/>
    <w:rsid w:val="003E2D63"/>
    <w:rsid w:val="003E57C5"/>
    <w:rsid w:val="003E63A7"/>
    <w:rsid w:val="003E677A"/>
    <w:rsid w:val="003E6A51"/>
    <w:rsid w:val="003E6E0D"/>
    <w:rsid w:val="003E7233"/>
    <w:rsid w:val="003F01ED"/>
    <w:rsid w:val="003F02BD"/>
    <w:rsid w:val="003F0566"/>
    <w:rsid w:val="003F094B"/>
    <w:rsid w:val="003F0BFD"/>
    <w:rsid w:val="003F15E0"/>
    <w:rsid w:val="003F24B4"/>
    <w:rsid w:val="003F4562"/>
    <w:rsid w:val="003F7156"/>
    <w:rsid w:val="003F71F3"/>
    <w:rsid w:val="003F7FE8"/>
    <w:rsid w:val="00401600"/>
    <w:rsid w:val="004024E0"/>
    <w:rsid w:val="00403BD3"/>
    <w:rsid w:val="00404100"/>
    <w:rsid w:val="00404E7D"/>
    <w:rsid w:val="0040508B"/>
    <w:rsid w:val="004056D6"/>
    <w:rsid w:val="00406EAE"/>
    <w:rsid w:val="004075CB"/>
    <w:rsid w:val="00410128"/>
    <w:rsid w:val="00410704"/>
    <w:rsid w:val="00411362"/>
    <w:rsid w:val="004119C1"/>
    <w:rsid w:val="00411F42"/>
    <w:rsid w:val="004126F8"/>
    <w:rsid w:val="00413D7D"/>
    <w:rsid w:val="00414FE1"/>
    <w:rsid w:val="00415A15"/>
    <w:rsid w:val="00417CC1"/>
    <w:rsid w:val="004207F6"/>
    <w:rsid w:val="00422E72"/>
    <w:rsid w:val="00423200"/>
    <w:rsid w:val="00423A35"/>
    <w:rsid w:val="00424A18"/>
    <w:rsid w:val="00424D92"/>
    <w:rsid w:val="00425722"/>
    <w:rsid w:val="00426C67"/>
    <w:rsid w:val="00433125"/>
    <w:rsid w:val="0043313D"/>
    <w:rsid w:val="00433A73"/>
    <w:rsid w:val="00433F55"/>
    <w:rsid w:val="00434106"/>
    <w:rsid w:val="00434616"/>
    <w:rsid w:val="00434EC2"/>
    <w:rsid w:val="0043522F"/>
    <w:rsid w:val="0043560D"/>
    <w:rsid w:val="0043562A"/>
    <w:rsid w:val="00436617"/>
    <w:rsid w:val="00436F80"/>
    <w:rsid w:val="00437682"/>
    <w:rsid w:val="00437A41"/>
    <w:rsid w:val="00440A05"/>
    <w:rsid w:val="0044193B"/>
    <w:rsid w:val="00442B30"/>
    <w:rsid w:val="00443BB8"/>
    <w:rsid w:val="004446E2"/>
    <w:rsid w:val="00445ABF"/>
    <w:rsid w:val="00445F2B"/>
    <w:rsid w:val="004460CE"/>
    <w:rsid w:val="004478BE"/>
    <w:rsid w:val="00450603"/>
    <w:rsid w:val="00453D92"/>
    <w:rsid w:val="00454BDB"/>
    <w:rsid w:val="00455473"/>
    <w:rsid w:val="004569AA"/>
    <w:rsid w:val="0045704D"/>
    <w:rsid w:val="00457C58"/>
    <w:rsid w:val="00457C93"/>
    <w:rsid w:val="00460FA1"/>
    <w:rsid w:val="00462333"/>
    <w:rsid w:val="00462DED"/>
    <w:rsid w:val="0046382B"/>
    <w:rsid w:val="00465A0E"/>
    <w:rsid w:val="00465A31"/>
    <w:rsid w:val="00466627"/>
    <w:rsid w:val="00466C47"/>
    <w:rsid w:val="00470298"/>
    <w:rsid w:val="004714F7"/>
    <w:rsid w:val="004718C8"/>
    <w:rsid w:val="004771DC"/>
    <w:rsid w:val="00477CC1"/>
    <w:rsid w:val="00477D9C"/>
    <w:rsid w:val="00477F07"/>
    <w:rsid w:val="00480EA9"/>
    <w:rsid w:val="004812A4"/>
    <w:rsid w:val="004814C6"/>
    <w:rsid w:val="00481574"/>
    <w:rsid w:val="00482ADD"/>
    <w:rsid w:val="00483DD0"/>
    <w:rsid w:val="0048582F"/>
    <w:rsid w:val="00485F44"/>
    <w:rsid w:val="004873F8"/>
    <w:rsid w:val="004876F8"/>
    <w:rsid w:val="0049138C"/>
    <w:rsid w:val="00491DA9"/>
    <w:rsid w:val="00492E88"/>
    <w:rsid w:val="004935D7"/>
    <w:rsid w:val="00496E19"/>
    <w:rsid w:val="0049776D"/>
    <w:rsid w:val="00497F6E"/>
    <w:rsid w:val="004A0AF3"/>
    <w:rsid w:val="004A1BA6"/>
    <w:rsid w:val="004A490F"/>
    <w:rsid w:val="004A6C27"/>
    <w:rsid w:val="004A6F87"/>
    <w:rsid w:val="004B0CC4"/>
    <w:rsid w:val="004B1DD1"/>
    <w:rsid w:val="004B25A9"/>
    <w:rsid w:val="004B4093"/>
    <w:rsid w:val="004B4ED1"/>
    <w:rsid w:val="004B594E"/>
    <w:rsid w:val="004B6C07"/>
    <w:rsid w:val="004B7767"/>
    <w:rsid w:val="004B7FC3"/>
    <w:rsid w:val="004C0109"/>
    <w:rsid w:val="004C1637"/>
    <w:rsid w:val="004C209C"/>
    <w:rsid w:val="004C2ECE"/>
    <w:rsid w:val="004C4BA4"/>
    <w:rsid w:val="004C5853"/>
    <w:rsid w:val="004C5D11"/>
    <w:rsid w:val="004C73D3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49E"/>
    <w:rsid w:val="004D341D"/>
    <w:rsid w:val="004D3558"/>
    <w:rsid w:val="004D57CB"/>
    <w:rsid w:val="004D5886"/>
    <w:rsid w:val="004D5C2B"/>
    <w:rsid w:val="004D6469"/>
    <w:rsid w:val="004D79CC"/>
    <w:rsid w:val="004D7A48"/>
    <w:rsid w:val="004E1A86"/>
    <w:rsid w:val="004E1AD6"/>
    <w:rsid w:val="004E2B27"/>
    <w:rsid w:val="004E2D15"/>
    <w:rsid w:val="004E3E94"/>
    <w:rsid w:val="004E3F24"/>
    <w:rsid w:val="004E4267"/>
    <w:rsid w:val="004E6409"/>
    <w:rsid w:val="004E6CE7"/>
    <w:rsid w:val="004E6E5C"/>
    <w:rsid w:val="004E745D"/>
    <w:rsid w:val="004E77B8"/>
    <w:rsid w:val="004F038F"/>
    <w:rsid w:val="004F04F8"/>
    <w:rsid w:val="004F3627"/>
    <w:rsid w:val="004F39BA"/>
    <w:rsid w:val="004F6B57"/>
    <w:rsid w:val="004F7D9F"/>
    <w:rsid w:val="005009D9"/>
    <w:rsid w:val="00502D75"/>
    <w:rsid w:val="00503AB6"/>
    <w:rsid w:val="00504DC5"/>
    <w:rsid w:val="00504FD3"/>
    <w:rsid w:val="005058FE"/>
    <w:rsid w:val="00506F20"/>
    <w:rsid w:val="00507151"/>
    <w:rsid w:val="00507996"/>
    <w:rsid w:val="005100B2"/>
    <w:rsid w:val="005100DD"/>
    <w:rsid w:val="00513973"/>
    <w:rsid w:val="0051630F"/>
    <w:rsid w:val="0051649E"/>
    <w:rsid w:val="005166DB"/>
    <w:rsid w:val="00517AB6"/>
    <w:rsid w:val="00520258"/>
    <w:rsid w:val="00521229"/>
    <w:rsid w:val="00522687"/>
    <w:rsid w:val="00526868"/>
    <w:rsid w:val="00531221"/>
    <w:rsid w:val="00531224"/>
    <w:rsid w:val="00533EE6"/>
    <w:rsid w:val="005354AC"/>
    <w:rsid w:val="00536353"/>
    <w:rsid w:val="00536AA5"/>
    <w:rsid w:val="00536C05"/>
    <w:rsid w:val="00537D39"/>
    <w:rsid w:val="00537E72"/>
    <w:rsid w:val="00541C48"/>
    <w:rsid w:val="005432F7"/>
    <w:rsid w:val="00543FDC"/>
    <w:rsid w:val="005444E4"/>
    <w:rsid w:val="00544862"/>
    <w:rsid w:val="005468A6"/>
    <w:rsid w:val="005476FE"/>
    <w:rsid w:val="00547B3D"/>
    <w:rsid w:val="00550450"/>
    <w:rsid w:val="0055271E"/>
    <w:rsid w:val="00553C74"/>
    <w:rsid w:val="005542F8"/>
    <w:rsid w:val="00555754"/>
    <w:rsid w:val="00561678"/>
    <w:rsid w:val="00561AFD"/>
    <w:rsid w:val="005625F7"/>
    <w:rsid w:val="00562C88"/>
    <w:rsid w:val="005637A6"/>
    <w:rsid w:val="00563A31"/>
    <w:rsid w:val="0056430F"/>
    <w:rsid w:val="00564B38"/>
    <w:rsid w:val="00567CB4"/>
    <w:rsid w:val="00567ECF"/>
    <w:rsid w:val="00570D80"/>
    <w:rsid w:val="00572752"/>
    <w:rsid w:val="00572DED"/>
    <w:rsid w:val="005733D2"/>
    <w:rsid w:val="005740F3"/>
    <w:rsid w:val="00574266"/>
    <w:rsid w:val="00575BD1"/>
    <w:rsid w:val="00580723"/>
    <w:rsid w:val="00580C33"/>
    <w:rsid w:val="005823EB"/>
    <w:rsid w:val="00583EB5"/>
    <w:rsid w:val="00585150"/>
    <w:rsid w:val="005856CB"/>
    <w:rsid w:val="005900CC"/>
    <w:rsid w:val="00590838"/>
    <w:rsid w:val="005931BB"/>
    <w:rsid w:val="005940AD"/>
    <w:rsid w:val="00595B36"/>
    <w:rsid w:val="005A1220"/>
    <w:rsid w:val="005A1339"/>
    <w:rsid w:val="005A1A24"/>
    <w:rsid w:val="005A2F40"/>
    <w:rsid w:val="005A3FD8"/>
    <w:rsid w:val="005A415C"/>
    <w:rsid w:val="005A42FB"/>
    <w:rsid w:val="005A48EF"/>
    <w:rsid w:val="005A5944"/>
    <w:rsid w:val="005A5D63"/>
    <w:rsid w:val="005A6A70"/>
    <w:rsid w:val="005A6CAF"/>
    <w:rsid w:val="005B3406"/>
    <w:rsid w:val="005B36DC"/>
    <w:rsid w:val="005B3781"/>
    <w:rsid w:val="005B3D3B"/>
    <w:rsid w:val="005B42EE"/>
    <w:rsid w:val="005B4A4F"/>
    <w:rsid w:val="005B5880"/>
    <w:rsid w:val="005B5D1C"/>
    <w:rsid w:val="005B5E58"/>
    <w:rsid w:val="005B626B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E80"/>
    <w:rsid w:val="005D206F"/>
    <w:rsid w:val="005D32D2"/>
    <w:rsid w:val="005D3D78"/>
    <w:rsid w:val="005D4F0B"/>
    <w:rsid w:val="005D5191"/>
    <w:rsid w:val="005D6444"/>
    <w:rsid w:val="005E036D"/>
    <w:rsid w:val="005E1655"/>
    <w:rsid w:val="005E3AD2"/>
    <w:rsid w:val="005E5C21"/>
    <w:rsid w:val="005E7A55"/>
    <w:rsid w:val="005F08DD"/>
    <w:rsid w:val="005F1EE4"/>
    <w:rsid w:val="005F1F8F"/>
    <w:rsid w:val="005F44E9"/>
    <w:rsid w:val="005F58E8"/>
    <w:rsid w:val="0060060F"/>
    <w:rsid w:val="00601774"/>
    <w:rsid w:val="00601DD6"/>
    <w:rsid w:val="00602FE3"/>
    <w:rsid w:val="006031E4"/>
    <w:rsid w:val="00606FF7"/>
    <w:rsid w:val="006073EC"/>
    <w:rsid w:val="00607D25"/>
    <w:rsid w:val="0061093F"/>
    <w:rsid w:val="00614871"/>
    <w:rsid w:val="006148C6"/>
    <w:rsid w:val="006151F9"/>
    <w:rsid w:val="006162A2"/>
    <w:rsid w:val="006167C8"/>
    <w:rsid w:val="0061687D"/>
    <w:rsid w:val="0061739C"/>
    <w:rsid w:val="00617988"/>
    <w:rsid w:val="006214A7"/>
    <w:rsid w:val="00622106"/>
    <w:rsid w:val="00622C09"/>
    <w:rsid w:val="006253F7"/>
    <w:rsid w:val="00626FBA"/>
    <w:rsid w:val="00632379"/>
    <w:rsid w:val="0063459C"/>
    <w:rsid w:val="00634A13"/>
    <w:rsid w:val="00634BAE"/>
    <w:rsid w:val="00635FEA"/>
    <w:rsid w:val="00636A87"/>
    <w:rsid w:val="006403FD"/>
    <w:rsid w:val="00642986"/>
    <w:rsid w:val="00643258"/>
    <w:rsid w:val="00645C61"/>
    <w:rsid w:val="0064730B"/>
    <w:rsid w:val="006474CF"/>
    <w:rsid w:val="00647DC4"/>
    <w:rsid w:val="00650F38"/>
    <w:rsid w:val="006533AA"/>
    <w:rsid w:val="00655993"/>
    <w:rsid w:val="00656642"/>
    <w:rsid w:val="00657768"/>
    <w:rsid w:val="0066046C"/>
    <w:rsid w:val="006617A7"/>
    <w:rsid w:val="00661893"/>
    <w:rsid w:val="00662171"/>
    <w:rsid w:val="00663AB6"/>
    <w:rsid w:val="00663F26"/>
    <w:rsid w:val="00664118"/>
    <w:rsid w:val="0066438D"/>
    <w:rsid w:val="006644F8"/>
    <w:rsid w:val="006662F1"/>
    <w:rsid w:val="0066696F"/>
    <w:rsid w:val="00667D03"/>
    <w:rsid w:val="00671359"/>
    <w:rsid w:val="006715EF"/>
    <w:rsid w:val="00672769"/>
    <w:rsid w:val="00672A2F"/>
    <w:rsid w:val="00673FE0"/>
    <w:rsid w:val="00674171"/>
    <w:rsid w:val="006747A3"/>
    <w:rsid w:val="006749C2"/>
    <w:rsid w:val="00677B1D"/>
    <w:rsid w:val="00681525"/>
    <w:rsid w:val="00682067"/>
    <w:rsid w:val="006823D3"/>
    <w:rsid w:val="0068384B"/>
    <w:rsid w:val="006844F4"/>
    <w:rsid w:val="00685A4B"/>
    <w:rsid w:val="00687B90"/>
    <w:rsid w:val="00695E36"/>
    <w:rsid w:val="0069759E"/>
    <w:rsid w:val="006A0B83"/>
    <w:rsid w:val="006A1F30"/>
    <w:rsid w:val="006A29F8"/>
    <w:rsid w:val="006A31C5"/>
    <w:rsid w:val="006A3401"/>
    <w:rsid w:val="006A402C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7540"/>
    <w:rsid w:val="006B780E"/>
    <w:rsid w:val="006C1370"/>
    <w:rsid w:val="006C19CE"/>
    <w:rsid w:val="006C3963"/>
    <w:rsid w:val="006C4AF0"/>
    <w:rsid w:val="006C5C94"/>
    <w:rsid w:val="006C6075"/>
    <w:rsid w:val="006C68D3"/>
    <w:rsid w:val="006D0A62"/>
    <w:rsid w:val="006D1114"/>
    <w:rsid w:val="006D307F"/>
    <w:rsid w:val="006D3780"/>
    <w:rsid w:val="006D3A17"/>
    <w:rsid w:val="006D475A"/>
    <w:rsid w:val="006D52E1"/>
    <w:rsid w:val="006D5946"/>
    <w:rsid w:val="006D67D4"/>
    <w:rsid w:val="006E20DB"/>
    <w:rsid w:val="006E3494"/>
    <w:rsid w:val="006E3A6C"/>
    <w:rsid w:val="006E42EF"/>
    <w:rsid w:val="006E4B94"/>
    <w:rsid w:val="006E5AD2"/>
    <w:rsid w:val="006E6D76"/>
    <w:rsid w:val="006E7C82"/>
    <w:rsid w:val="006F0DC6"/>
    <w:rsid w:val="006F1004"/>
    <w:rsid w:val="006F1B80"/>
    <w:rsid w:val="006F1BD4"/>
    <w:rsid w:val="006F2EAC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BD"/>
    <w:rsid w:val="007137AE"/>
    <w:rsid w:val="00716496"/>
    <w:rsid w:val="00717A65"/>
    <w:rsid w:val="007214E7"/>
    <w:rsid w:val="00721C11"/>
    <w:rsid w:val="00722EDB"/>
    <w:rsid w:val="00723156"/>
    <w:rsid w:val="00723163"/>
    <w:rsid w:val="00723410"/>
    <w:rsid w:val="00723860"/>
    <w:rsid w:val="00724F2E"/>
    <w:rsid w:val="007262DE"/>
    <w:rsid w:val="00727FA4"/>
    <w:rsid w:val="0073070E"/>
    <w:rsid w:val="00730ACD"/>
    <w:rsid w:val="00732248"/>
    <w:rsid w:val="00732581"/>
    <w:rsid w:val="007327ED"/>
    <w:rsid w:val="00732CF6"/>
    <w:rsid w:val="007330E3"/>
    <w:rsid w:val="00733995"/>
    <w:rsid w:val="00735ABB"/>
    <w:rsid w:val="007369C0"/>
    <w:rsid w:val="00740AE0"/>
    <w:rsid w:val="00741E86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6977"/>
    <w:rsid w:val="00760967"/>
    <w:rsid w:val="00761A96"/>
    <w:rsid w:val="00761ED4"/>
    <w:rsid w:val="007639BF"/>
    <w:rsid w:val="007641B2"/>
    <w:rsid w:val="007645C7"/>
    <w:rsid w:val="0076467D"/>
    <w:rsid w:val="00764F13"/>
    <w:rsid w:val="00766DD8"/>
    <w:rsid w:val="00766F4E"/>
    <w:rsid w:val="00767F42"/>
    <w:rsid w:val="00772422"/>
    <w:rsid w:val="00772C1B"/>
    <w:rsid w:val="007756D9"/>
    <w:rsid w:val="00777313"/>
    <w:rsid w:val="00780284"/>
    <w:rsid w:val="007802C0"/>
    <w:rsid w:val="007805F7"/>
    <w:rsid w:val="00782F97"/>
    <w:rsid w:val="00783E7F"/>
    <w:rsid w:val="007847A2"/>
    <w:rsid w:val="00785C13"/>
    <w:rsid w:val="00786262"/>
    <w:rsid w:val="00786954"/>
    <w:rsid w:val="0078787C"/>
    <w:rsid w:val="00787DFC"/>
    <w:rsid w:val="00787E3B"/>
    <w:rsid w:val="00790700"/>
    <w:rsid w:val="00790F2D"/>
    <w:rsid w:val="007914B5"/>
    <w:rsid w:val="007914B6"/>
    <w:rsid w:val="007921D5"/>
    <w:rsid w:val="007938B0"/>
    <w:rsid w:val="00795840"/>
    <w:rsid w:val="007959B1"/>
    <w:rsid w:val="0079622C"/>
    <w:rsid w:val="007972D3"/>
    <w:rsid w:val="00797E3C"/>
    <w:rsid w:val="007A0C27"/>
    <w:rsid w:val="007A19C3"/>
    <w:rsid w:val="007A20BE"/>
    <w:rsid w:val="007A2198"/>
    <w:rsid w:val="007A2298"/>
    <w:rsid w:val="007A4CC7"/>
    <w:rsid w:val="007A69D5"/>
    <w:rsid w:val="007A6B4C"/>
    <w:rsid w:val="007A6D41"/>
    <w:rsid w:val="007A77B6"/>
    <w:rsid w:val="007B119F"/>
    <w:rsid w:val="007B3E3A"/>
    <w:rsid w:val="007B47FD"/>
    <w:rsid w:val="007B4B08"/>
    <w:rsid w:val="007B4C08"/>
    <w:rsid w:val="007B55FA"/>
    <w:rsid w:val="007B5D8F"/>
    <w:rsid w:val="007B67E7"/>
    <w:rsid w:val="007B6E0D"/>
    <w:rsid w:val="007B724A"/>
    <w:rsid w:val="007B7506"/>
    <w:rsid w:val="007C02FB"/>
    <w:rsid w:val="007C25C8"/>
    <w:rsid w:val="007C29FF"/>
    <w:rsid w:val="007C409C"/>
    <w:rsid w:val="007C5F06"/>
    <w:rsid w:val="007C63D1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2BA"/>
    <w:rsid w:val="007D4A47"/>
    <w:rsid w:val="007D6076"/>
    <w:rsid w:val="007D7B44"/>
    <w:rsid w:val="007E1451"/>
    <w:rsid w:val="007E22C2"/>
    <w:rsid w:val="007E2611"/>
    <w:rsid w:val="007E29C1"/>
    <w:rsid w:val="007E3231"/>
    <w:rsid w:val="007E3648"/>
    <w:rsid w:val="007E7284"/>
    <w:rsid w:val="007E7DA8"/>
    <w:rsid w:val="007F1887"/>
    <w:rsid w:val="007F34FD"/>
    <w:rsid w:val="007F4F23"/>
    <w:rsid w:val="007F5B24"/>
    <w:rsid w:val="007F6B0B"/>
    <w:rsid w:val="007F75A7"/>
    <w:rsid w:val="00800078"/>
    <w:rsid w:val="008026E2"/>
    <w:rsid w:val="008029AA"/>
    <w:rsid w:val="0080347A"/>
    <w:rsid w:val="008044C2"/>
    <w:rsid w:val="00806649"/>
    <w:rsid w:val="00807F8F"/>
    <w:rsid w:val="0081021D"/>
    <w:rsid w:val="00810F79"/>
    <w:rsid w:val="008122C4"/>
    <w:rsid w:val="008130A2"/>
    <w:rsid w:val="00813C2B"/>
    <w:rsid w:val="00815119"/>
    <w:rsid w:val="00815B5A"/>
    <w:rsid w:val="008169AD"/>
    <w:rsid w:val="008170B5"/>
    <w:rsid w:val="00820C43"/>
    <w:rsid w:val="00822441"/>
    <w:rsid w:val="008225EC"/>
    <w:rsid w:val="0082376E"/>
    <w:rsid w:val="00823D7F"/>
    <w:rsid w:val="00824667"/>
    <w:rsid w:val="00824DA8"/>
    <w:rsid w:val="00824EE2"/>
    <w:rsid w:val="00826B9D"/>
    <w:rsid w:val="008326FD"/>
    <w:rsid w:val="00833B14"/>
    <w:rsid w:val="008346DF"/>
    <w:rsid w:val="00834CDE"/>
    <w:rsid w:val="0083780A"/>
    <w:rsid w:val="00837BE5"/>
    <w:rsid w:val="0084001E"/>
    <w:rsid w:val="00843081"/>
    <w:rsid w:val="00843ED0"/>
    <w:rsid w:val="0084743A"/>
    <w:rsid w:val="008475EA"/>
    <w:rsid w:val="00847B99"/>
    <w:rsid w:val="00847E40"/>
    <w:rsid w:val="0085271F"/>
    <w:rsid w:val="008528D4"/>
    <w:rsid w:val="00852BE6"/>
    <w:rsid w:val="00853193"/>
    <w:rsid w:val="00856882"/>
    <w:rsid w:val="008614DD"/>
    <w:rsid w:val="00864136"/>
    <w:rsid w:val="00864DC1"/>
    <w:rsid w:val="00865ABD"/>
    <w:rsid w:val="008660B3"/>
    <w:rsid w:val="008668D5"/>
    <w:rsid w:val="00870647"/>
    <w:rsid w:val="0087081E"/>
    <w:rsid w:val="00872201"/>
    <w:rsid w:val="00873B6C"/>
    <w:rsid w:val="00874FAE"/>
    <w:rsid w:val="00875075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DEC"/>
    <w:rsid w:val="008865D4"/>
    <w:rsid w:val="008869CF"/>
    <w:rsid w:val="0089053C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194E"/>
    <w:rsid w:val="008B2329"/>
    <w:rsid w:val="008B2DDA"/>
    <w:rsid w:val="008B33DD"/>
    <w:rsid w:val="008B466C"/>
    <w:rsid w:val="008B7A61"/>
    <w:rsid w:val="008C2CAA"/>
    <w:rsid w:val="008C2F3B"/>
    <w:rsid w:val="008C4496"/>
    <w:rsid w:val="008C7B3E"/>
    <w:rsid w:val="008D1CDA"/>
    <w:rsid w:val="008D3390"/>
    <w:rsid w:val="008D4999"/>
    <w:rsid w:val="008D4A65"/>
    <w:rsid w:val="008D65FD"/>
    <w:rsid w:val="008E1016"/>
    <w:rsid w:val="008E23CF"/>
    <w:rsid w:val="008E3727"/>
    <w:rsid w:val="008E4165"/>
    <w:rsid w:val="008E4FC1"/>
    <w:rsid w:val="008E6633"/>
    <w:rsid w:val="008E797B"/>
    <w:rsid w:val="008E7B76"/>
    <w:rsid w:val="008F05C3"/>
    <w:rsid w:val="008F1117"/>
    <w:rsid w:val="008F1E91"/>
    <w:rsid w:val="008F2740"/>
    <w:rsid w:val="008F34B6"/>
    <w:rsid w:val="008F3B54"/>
    <w:rsid w:val="008F49C6"/>
    <w:rsid w:val="008F4E45"/>
    <w:rsid w:val="008F5D12"/>
    <w:rsid w:val="008F5D6B"/>
    <w:rsid w:val="008F7020"/>
    <w:rsid w:val="00901D23"/>
    <w:rsid w:val="009037B5"/>
    <w:rsid w:val="00903BA0"/>
    <w:rsid w:val="00905498"/>
    <w:rsid w:val="00905B8A"/>
    <w:rsid w:val="00905B9E"/>
    <w:rsid w:val="009077F0"/>
    <w:rsid w:val="00907E31"/>
    <w:rsid w:val="00910B2C"/>
    <w:rsid w:val="00910FBE"/>
    <w:rsid w:val="00911F49"/>
    <w:rsid w:val="00912C47"/>
    <w:rsid w:val="00913104"/>
    <w:rsid w:val="00913A0D"/>
    <w:rsid w:val="00915DB5"/>
    <w:rsid w:val="00917BA6"/>
    <w:rsid w:val="00921BEF"/>
    <w:rsid w:val="00922876"/>
    <w:rsid w:val="009231F4"/>
    <w:rsid w:val="00923245"/>
    <w:rsid w:val="00923E38"/>
    <w:rsid w:val="0092486F"/>
    <w:rsid w:val="009251ED"/>
    <w:rsid w:val="00927115"/>
    <w:rsid w:val="00927D1B"/>
    <w:rsid w:val="009301F0"/>
    <w:rsid w:val="00930337"/>
    <w:rsid w:val="0093084A"/>
    <w:rsid w:val="0093100D"/>
    <w:rsid w:val="009317DE"/>
    <w:rsid w:val="009318D0"/>
    <w:rsid w:val="0093311F"/>
    <w:rsid w:val="00934E2B"/>
    <w:rsid w:val="00935492"/>
    <w:rsid w:val="0093634F"/>
    <w:rsid w:val="00936366"/>
    <w:rsid w:val="009400D9"/>
    <w:rsid w:val="0094021D"/>
    <w:rsid w:val="00941BE1"/>
    <w:rsid w:val="00942B32"/>
    <w:rsid w:val="00942F8C"/>
    <w:rsid w:val="009438ED"/>
    <w:rsid w:val="00943F28"/>
    <w:rsid w:val="00944993"/>
    <w:rsid w:val="00945B1C"/>
    <w:rsid w:val="00945E23"/>
    <w:rsid w:val="009467CC"/>
    <w:rsid w:val="009522C0"/>
    <w:rsid w:val="00953B70"/>
    <w:rsid w:val="00953E45"/>
    <w:rsid w:val="00953F2A"/>
    <w:rsid w:val="0095487E"/>
    <w:rsid w:val="0095499D"/>
    <w:rsid w:val="009552B9"/>
    <w:rsid w:val="00955C77"/>
    <w:rsid w:val="00957384"/>
    <w:rsid w:val="00957F8E"/>
    <w:rsid w:val="00961748"/>
    <w:rsid w:val="00961817"/>
    <w:rsid w:val="0096182D"/>
    <w:rsid w:val="00963341"/>
    <w:rsid w:val="00963A38"/>
    <w:rsid w:val="00964CDF"/>
    <w:rsid w:val="00964E79"/>
    <w:rsid w:val="00964F8D"/>
    <w:rsid w:val="00965C38"/>
    <w:rsid w:val="009668BA"/>
    <w:rsid w:val="009711C4"/>
    <w:rsid w:val="009732F0"/>
    <w:rsid w:val="009739F0"/>
    <w:rsid w:val="00974563"/>
    <w:rsid w:val="0097487D"/>
    <w:rsid w:val="00975306"/>
    <w:rsid w:val="009754DB"/>
    <w:rsid w:val="009754E1"/>
    <w:rsid w:val="00975726"/>
    <w:rsid w:val="00977057"/>
    <w:rsid w:val="00981115"/>
    <w:rsid w:val="009853AD"/>
    <w:rsid w:val="00986ABD"/>
    <w:rsid w:val="009902A2"/>
    <w:rsid w:val="0099421F"/>
    <w:rsid w:val="00994C33"/>
    <w:rsid w:val="00996800"/>
    <w:rsid w:val="00996C09"/>
    <w:rsid w:val="00997708"/>
    <w:rsid w:val="009A054A"/>
    <w:rsid w:val="009A0E1D"/>
    <w:rsid w:val="009A131E"/>
    <w:rsid w:val="009A1A33"/>
    <w:rsid w:val="009A3B65"/>
    <w:rsid w:val="009A3F95"/>
    <w:rsid w:val="009A3FE1"/>
    <w:rsid w:val="009A47B4"/>
    <w:rsid w:val="009A4CB0"/>
    <w:rsid w:val="009A68C6"/>
    <w:rsid w:val="009A702B"/>
    <w:rsid w:val="009B03F3"/>
    <w:rsid w:val="009B0944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2FB9"/>
    <w:rsid w:val="009C4E2D"/>
    <w:rsid w:val="009C5486"/>
    <w:rsid w:val="009C59D7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E3671"/>
    <w:rsid w:val="009E53FE"/>
    <w:rsid w:val="009E6441"/>
    <w:rsid w:val="009F0FFB"/>
    <w:rsid w:val="009F1714"/>
    <w:rsid w:val="009F293B"/>
    <w:rsid w:val="009F400E"/>
    <w:rsid w:val="009F40D1"/>
    <w:rsid w:val="009F4B17"/>
    <w:rsid w:val="009F5150"/>
    <w:rsid w:val="009F5353"/>
    <w:rsid w:val="00A00926"/>
    <w:rsid w:val="00A0164D"/>
    <w:rsid w:val="00A02736"/>
    <w:rsid w:val="00A0284B"/>
    <w:rsid w:val="00A0345E"/>
    <w:rsid w:val="00A03C81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1B93"/>
    <w:rsid w:val="00A14C72"/>
    <w:rsid w:val="00A151D8"/>
    <w:rsid w:val="00A1577E"/>
    <w:rsid w:val="00A160A3"/>
    <w:rsid w:val="00A2012F"/>
    <w:rsid w:val="00A20EEF"/>
    <w:rsid w:val="00A21594"/>
    <w:rsid w:val="00A21DB5"/>
    <w:rsid w:val="00A234DA"/>
    <w:rsid w:val="00A23DF7"/>
    <w:rsid w:val="00A23F8D"/>
    <w:rsid w:val="00A241E9"/>
    <w:rsid w:val="00A24E8A"/>
    <w:rsid w:val="00A2559F"/>
    <w:rsid w:val="00A25A40"/>
    <w:rsid w:val="00A26460"/>
    <w:rsid w:val="00A27392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6962"/>
    <w:rsid w:val="00A37107"/>
    <w:rsid w:val="00A3787C"/>
    <w:rsid w:val="00A37B1D"/>
    <w:rsid w:val="00A40900"/>
    <w:rsid w:val="00A4302F"/>
    <w:rsid w:val="00A43DF8"/>
    <w:rsid w:val="00A449A1"/>
    <w:rsid w:val="00A44B3D"/>
    <w:rsid w:val="00A44C2B"/>
    <w:rsid w:val="00A461AA"/>
    <w:rsid w:val="00A50E81"/>
    <w:rsid w:val="00A51899"/>
    <w:rsid w:val="00A51E8D"/>
    <w:rsid w:val="00A5258C"/>
    <w:rsid w:val="00A5287C"/>
    <w:rsid w:val="00A53440"/>
    <w:rsid w:val="00A542F9"/>
    <w:rsid w:val="00A57BCC"/>
    <w:rsid w:val="00A60659"/>
    <w:rsid w:val="00A608AF"/>
    <w:rsid w:val="00A61998"/>
    <w:rsid w:val="00A62413"/>
    <w:rsid w:val="00A64A11"/>
    <w:rsid w:val="00A65692"/>
    <w:rsid w:val="00A6658C"/>
    <w:rsid w:val="00A71885"/>
    <w:rsid w:val="00A731E8"/>
    <w:rsid w:val="00A73B65"/>
    <w:rsid w:val="00A7428B"/>
    <w:rsid w:val="00A749C4"/>
    <w:rsid w:val="00A74AD7"/>
    <w:rsid w:val="00A759BE"/>
    <w:rsid w:val="00A76009"/>
    <w:rsid w:val="00A76A6D"/>
    <w:rsid w:val="00A7700C"/>
    <w:rsid w:val="00A77AD2"/>
    <w:rsid w:val="00A80EE6"/>
    <w:rsid w:val="00A81000"/>
    <w:rsid w:val="00A82C20"/>
    <w:rsid w:val="00A82C6E"/>
    <w:rsid w:val="00A8458B"/>
    <w:rsid w:val="00A8551C"/>
    <w:rsid w:val="00A90195"/>
    <w:rsid w:val="00A91BF4"/>
    <w:rsid w:val="00A92159"/>
    <w:rsid w:val="00A930CF"/>
    <w:rsid w:val="00A95E6C"/>
    <w:rsid w:val="00A96892"/>
    <w:rsid w:val="00A96A25"/>
    <w:rsid w:val="00AA09CD"/>
    <w:rsid w:val="00AA121C"/>
    <w:rsid w:val="00AA4D0D"/>
    <w:rsid w:val="00AA7BCE"/>
    <w:rsid w:val="00AB0A85"/>
    <w:rsid w:val="00AB0B10"/>
    <w:rsid w:val="00AB3D2D"/>
    <w:rsid w:val="00AB5584"/>
    <w:rsid w:val="00AB748D"/>
    <w:rsid w:val="00AB7BBC"/>
    <w:rsid w:val="00AC0674"/>
    <w:rsid w:val="00AC27D0"/>
    <w:rsid w:val="00AC3604"/>
    <w:rsid w:val="00AC3C89"/>
    <w:rsid w:val="00AC55C4"/>
    <w:rsid w:val="00AC72CF"/>
    <w:rsid w:val="00AC741B"/>
    <w:rsid w:val="00AC7596"/>
    <w:rsid w:val="00AC7E89"/>
    <w:rsid w:val="00AD0557"/>
    <w:rsid w:val="00AD0B70"/>
    <w:rsid w:val="00AD150C"/>
    <w:rsid w:val="00AD2DF1"/>
    <w:rsid w:val="00AD45A0"/>
    <w:rsid w:val="00AD578A"/>
    <w:rsid w:val="00AE0100"/>
    <w:rsid w:val="00AE095A"/>
    <w:rsid w:val="00AE0BE5"/>
    <w:rsid w:val="00AE0E78"/>
    <w:rsid w:val="00AE1E0A"/>
    <w:rsid w:val="00AE1E4A"/>
    <w:rsid w:val="00AE5410"/>
    <w:rsid w:val="00AE6B2C"/>
    <w:rsid w:val="00AE7297"/>
    <w:rsid w:val="00AF013B"/>
    <w:rsid w:val="00AF10AA"/>
    <w:rsid w:val="00AF24FC"/>
    <w:rsid w:val="00AF31B6"/>
    <w:rsid w:val="00AF37B8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B5"/>
    <w:rsid w:val="00B042E7"/>
    <w:rsid w:val="00B042F5"/>
    <w:rsid w:val="00B0438E"/>
    <w:rsid w:val="00B05033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7B6B"/>
    <w:rsid w:val="00B202DD"/>
    <w:rsid w:val="00B20F5A"/>
    <w:rsid w:val="00B20F9E"/>
    <w:rsid w:val="00B21076"/>
    <w:rsid w:val="00B212D9"/>
    <w:rsid w:val="00B21541"/>
    <w:rsid w:val="00B2349E"/>
    <w:rsid w:val="00B247FE"/>
    <w:rsid w:val="00B24ACC"/>
    <w:rsid w:val="00B24F4A"/>
    <w:rsid w:val="00B25D6C"/>
    <w:rsid w:val="00B26B39"/>
    <w:rsid w:val="00B305A3"/>
    <w:rsid w:val="00B321C7"/>
    <w:rsid w:val="00B33E52"/>
    <w:rsid w:val="00B351B4"/>
    <w:rsid w:val="00B35386"/>
    <w:rsid w:val="00B35892"/>
    <w:rsid w:val="00B36314"/>
    <w:rsid w:val="00B36784"/>
    <w:rsid w:val="00B37E0F"/>
    <w:rsid w:val="00B42C86"/>
    <w:rsid w:val="00B42E55"/>
    <w:rsid w:val="00B4326A"/>
    <w:rsid w:val="00B43418"/>
    <w:rsid w:val="00B44496"/>
    <w:rsid w:val="00B47A1A"/>
    <w:rsid w:val="00B50E81"/>
    <w:rsid w:val="00B51AEC"/>
    <w:rsid w:val="00B5218C"/>
    <w:rsid w:val="00B5272F"/>
    <w:rsid w:val="00B52E44"/>
    <w:rsid w:val="00B536E3"/>
    <w:rsid w:val="00B53D30"/>
    <w:rsid w:val="00B55676"/>
    <w:rsid w:val="00B55ED3"/>
    <w:rsid w:val="00B565AA"/>
    <w:rsid w:val="00B61EFA"/>
    <w:rsid w:val="00B62608"/>
    <w:rsid w:val="00B636A8"/>
    <w:rsid w:val="00B63A26"/>
    <w:rsid w:val="00B64B6C"/>
    <w:rsid w:val="00B64D77"/>
    <w:rsid w:val="00B65D05"/>
    <w:rsid w:val="00B703C2"/>
    <w:rsid w:val="00B72632"/>
    <w:rsid w:val="00B73AD7"/>
    <w:rsid w:val="00B76181"/>
    <w:rsid w:val="00B76490"/>
    <w:rsid w:val="00B76ABB"/>
    <w:rsid w:val="00B76B49"/>
    <w:rsid w:val="00B76EB1"/>
    <w:rsid w:val="00B76FD4"/>
    <w:rsid w:val="00B8059C"/>
    <w:rsid w:val="00B806E6"/>
    <w:rsid w:val="00B80DF9"/>
    <w:rsid w:val="00B830FD"/>
    <w:rsid w:val="00B834E9"/>
    <w:rsid w:val="00B85090"/>
    <w:rsid w:val="00B87E08"/>
    <w:rsid w:val="00B87E61"/>
    <w:rsid w:val="00B90CFB"/>
    <w:rsid w:val="00B910C0"/>
    <w:rsid w:val="00B94FC1"/>
    <w:rsid w:val="00B95757"/>
    <w:rsid w:val="00B95C35"/>
    <w:rsid w:val="00B95F53"/>
    <w:rsid w:val="00B974C7"/>
    <w:rsid w:val="00B9784E"/>
    <w:rsid w:val="00B97F09"/>
    <w:rsid w:val="00BA0F0F"/>
    <w:rsid w:val="00BA44D4"/>
    <w:rsid w:val="00BA453B"/>
    <w:rsid w:val="00BA4652"/>
    <w:rsid w:val="00BA5AF2"/>
    <w:rsid w:val="00BB050B"/>
    <w:rsid w:val="00BB089A"/>
    <w:rsid w:val="00BB1FAC"/>
    <w:rsid w:val="00BB200A"/>
    <w:rsid w:val="00BB3A62"/>
    <w:rsid w:val="00BB3AAC"/>
    <w:rsid w:val="00BB4197"/>
    <w:rsid w:val="00BB424C"/>
    <w:rsid w:val="00BB54EF"/>
    <w:rsid w:val="00BB627D"/>
    <w:rsid w:val="00BC0EE1"/>
    <w:rsid w:val="00BC0FEB"/>
    <w:rsid w:val="00BC19B2"/>
    <w:rsid w:val="00BC1E86"/>
    <w:rsid w:val="00BC42FB"/>
    <w:rsid w:val="00BC5F7B"/>
    <w:rsid w:val="00BC615E"/>
    <w:rsid w:val="00BC77E1"/>
    <w:rsid w:val="00BD01D3"/>
    <w:rsid w:val="00BD0E72"/>
    <w:rsid w:val="00BD2354"/>
    <w:rsid w:val="00BD2D70"/>
    <w:rsid w:val="00BD6F80"/>
    <w:rsid w:val="00BD71AF"/>
    <w:rsid w:val="00BE0E1B"/>
    <w:rsid w:val="00BE1762"/>
    <w:rsid w:val="00BE249E"/>
    <w:rsid w:val="00BE319B"/>
    <w:rsid w:val="00BE3507"/>
    <w:rsid w:val="00BE4117"/>
    <w:rsid w:val="00BE5975"/>
    <w:rsid w:val="00BE5E09"/>
    <w:rsid w:val="00BE5EDC"/>
    <w:rsid w:val="00BE733F"/>
    <w:rsid w:val="00BE7434"/>
    <w:rsid w:val="00BE7509"/>
    <w:rsid w:val="00BE7D8A"/>
    <w:rsid w:val="00BF3241"/>
    <w:rsid w:val="00BF3EF8"/>
    <w:rsid w:val="00BF54F5"/>
    <w:rsid w:val="00BF6D58"/>
    <w:rsid w:val="00BF6FE2"/>
    <w:rsid w:val="00C03190"/>
    <w:rsid w:val="00C0326A"/>
    <w:rsid w:val="00C05BA0"/>
    <w:rsid w:val="00C05BE8"/>
    <w:rsid w:val="00C06734"/>
    <w:rsid w:val="00C068A1"/>
    <w:rsid w:val="00C06BCF"/>
    <w:rsid w:val="00C06FF9"/>
    <w:rsid w:val="00C079B3"/>
    <w:rsid w:val="00C07B56"/>
    <w:rsid w:val="00C10903"/>
    <w:rsid w:val="00C10A0E"/>
    <w:rsid w:val="00C11F6C"/>
    <w:rsid w:val="00C14FD0"/>
    <w:rsid w:val="00C15AA1"/>
    <w:rsid w:val="00C16B3D"/>
    <w:rsid w:val="00C177E0"/>
    <w:rsid w:val="00C179CF"/>
    <w:rsid w:val="00C20297"/>
    <w:rsid w:val="00C204EA"/>
    <w:rsid w:val="00C218A7"/>
    <w:rsid w:val="00C220E5"/>
    <w:rsid w:val="00C23368"/>
    <w:rsid w:val="00C24270"/>
    <w:rsid w:val="00C24690"/>
    <w:rsid w:val="00C246A4"/>
    <w:rsid w:val="00C2517B"/>
    <w:rsid w:val="00C251E8"/>
    <w:rsid w:val="00C27006"/>
    <w:rsid w:val="00C27719"/>
    <w:rsid w:val="00C2793C"/>
    <w:rsid w:val="00C3339D"/>
    <w:rsid w:val="00C36B11"/>
    <w:rsid w:val="00C37B99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7437"/>
    <w:rsid w:val="00C60A81"/>
    <w:rsid w:val="00C615E8"/>
    <w:rsid w:val="00C62AF4"/>
    <w:rsid w:val="00C64056"/>
    <w:rsid w:val="00C701A7"/>
    <w:rsid w:val="00C7123A"/>
    <w:rsid w:val="00C736D2"/>
    <w:rsid w:val="00C7414C"/>
    <w:rsid w:val="00C74272"/>
    <w:rsid w:val="00C74BD2"/>
    <w:rsid w:val="00C74F39"/>
    <w:rsid w:val="00C74F76"/>
    <w:rsid w:val="00C7699B"/>
    <w:rsid w:val="00C773EF"/>
    <w:rsid w:val="00C80029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B0612"/>
    <w:rsid w:val="00CB24A1"/>
    <w:rsid w:val="00CB2651"/>
    <w:rsid w:val="00CB2F74"/>
    <w:rsid w:val="00CB5044"/>
    <w:rsid w:val="00CB54A9"/>
    <w:rsid w:val="00CB595B"/>
    <w:rsid w:val="00CB5B80"/>
    <w:rsid w:val="00CB66F4"/>
    <w:rsid w:val="00CB697F"/>
    <w:rsid w:val="00CB73AA"/>
    <w:rsid w:val="00CB7983"/>
    <w:rsid w:val="00CC1581"/>
    <w:rsid w:val="00CC196A"/>
    <w:rsid w:val="00CC21FF"/>
    <w:rsid w:val="00CC3327"/>
    <w:rsid w:val="00CC63D2"/>
    <w:rsid w:val="00CD1DD3"/>
    <w:rsid w:val="00CD3311"/>
    <w:rsid w:val="00CD3993"/>
    <w:rsid w:val="00CD4453"/>
    <w:rsid w:val="00CD549E"/>
    <w:rsid w:val="00CD578D"/>
    <w:rsid w:val="00CD5BC5"/>
    <w:rsid w:val="00CD5D33"/>
    <w:rsid w:val="00CE0181"/>
    <w:rsid w:val="00CE2439"/>
    <w:rsid w:val="00CE371D"/>
    <w:rsid w:val="00CE4DE1"/>
    <w:rsid w:val="00CE60F8"/>
    <w:rsid w:val="00CE67FD"/>
    <w:rsid w:val="00CE75DE"/>
    <w:rsid w:val="00CE7BE1"/>
    <w:rsid w:val="00CF0503"/>
    <w:rsid w:val="00CF0C5A"/>
    <w:rsid w:val="00CF1308"/>
    <w:rsid w:val="00CF1B2A"/>
    <w:rsid w:val="00CF1B39"/>
    <w:rsid w:val="00CF25A2"/>
    <w:rsid w:val="00CF3D77"/>
    <w:rsid w:val="00CF4948"/>
    <w:rsid w:val="00CF52C8"/>
    <w:rsid w:val="00CF69CD"/>
    <w:rsid w:val="00CF6F52"/>
    <w:rsid w:val="00CF7EB4"/>
    <w:rsid w:val="00D007A6"/>
    <w:rsid w:val="00D01134"/>
    <w:rsid w:val="00D014CA"/>
    <w:rsid w:val="00D01939"/>
    <w:rsid w:val="00D0324E"/>
    <w:rsid w:val="00D03F0C"/>
    <w:rsid w:val="00D03F6C"/>
    <w:rsid w:val="00D04C9F"/>
    <w:rsid w:val="00D05207"/>
    <w:rsid w:val="00D07767"/>
    <w:rsid w:val="00D104A8"/>
    <w:rsid w:val="00D10D76"/>
    <w:rsid w:val="00D10E7E"/>
    <w:rsid w:val="00D11754"/>
    <w:rsid w:val="00D11B4A"/>
    <w:rsid w:val="00D1318A"/>
    <w:rsid w:val="00D1434B"/>
    <w:rsid w:val="00D143B2"/>
    <w:rsid w:val="00D162EA"/>
    <w:rsid w:val="00D16ED1"/>
    <w:rsid w:val="00D20BD2"/>
    <w:rsid w:val="00D26DB2"/>
    <w:rsid w:val="00D2725C"/>
    <w:rsid w:val="00D31113"/>
    <w:rsid w:val="00D3148B"/>
    <w:rsid w:val="00D341E9"/>
    <w:rsid w:val="00D3544A"/>
    <w:rsid w:val="00D36AD9"/>
    <w:rsid w:val="00D375EF"/>
    <w:rsid w:val="00D407E5"/>
    <w:rsid w:val="00D414A3"/>
    <w:rsid w:val="00D41FCE"/>
    <w:rsid w:val="00D42AFA"/>
    <w:rsid w:val="00D43520"/>
    <w:rsid w:val="00D45D7E"/>
    <w:rsid w:val="00D46C28"/>
    <w:rsid w:val="00D471A1"/>
    <w:rsid w:val="00D4735B"/>
    <w:rsid w:val="00D4782E"/>
    <w:rsid w:val="00D503C7"/>
    <w:rsid w:val="00D50531"/>
    <w:rsid w:val="00D5116E"/>
    <w:rsid w:val="00D518BF"/>
    <w:rsid w:val="00D5234E"/>
    <w:rsid w:val="00D55DC3"/>
    <w:rsid w:val="00D56A92"/>
    <w:rsid w:val="00D56BEB"/>
    <w:rsid w:val="00D6030A"/>
    <w:rsid w:val="00D607B8"/>
    <w:rsid w:val="00D62758"/>
    <w:rsid w:val="00D64262"/>
    <w:rsid w:val="00D71176"/>
    <w:rsid w:val="00D7165D"/>
    <w:rsid w:val="00D72DDA"/>
    <w:rsid w:val="00D733C1"/>
    <w:rsid w:val="00D739B9"/>
    <w:rsid w:val="00D74346"/>
    <w:rsid w:val="00D76FF4"/>
    <w:rsid w:val="00D80787"/>
    <w:rsid w:val="00D82679"/>
    <w:rsid w:val="00D82B4D"/>
    <w:rsid w:val="00D8391E"/>
    <w:rsid w:val="00D8451A"/>
    <w:rsid w:val="00D84C5F"/>
    <w:rsid w:val="00D84DFC"/>
    <w:rsid w:val="00D85067"/>
    <w:rsid w:val="00D85229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A1841"/>
    <w:rsid w:val="00DA1B2E"/>
    <w:rsid w:val="00DA2654"/>
    <w:rsid w:val="00DA37E8"/>
    <w:rsid w:val="00DA51A6"/>
    <w:rsid w:val="00DA5E83"/>
    <w:rsid w:val="00DA622D"/>
    <w:rsid w:val="00DA6683"/>
    <w:rsid w:val="00DA68FD"/>
    <w:rsid w:val="00DA69D3"/>
    <w:rsid w:val="00DA73E2"/>
    <w:rsid w:val="00DB020E"/>
    <w:rsid w:val="00DB1FF1"/>
    <w:rsid w:val="00DB3BA9"/>
    <w:rsid w:val="00DB3CD4"/>
    <w:rsid w:val="00DB3E3A"/>
    <w:rsid w:val="00DB5961"/>
    <w:rsid w:val="00DB6DFF"/>
    <w:rsid w:val="00DB6F35"/>
    <w:rsid w:val="00DB7110"/>
    <w:rsid w:val="00DC1053"/>
    <w:rsid w:val="00DC11FA"/>
    <w:rsid w:val="00DC1CA5"/>
    <w:rsid w:val="00DC3033"/>
    <w:rsid w:val="00DC31D8"/>
    <w:rsid w:val="00DC4FA6"/>
    <w:rsid w:val="00DC6013"/>
    <w:rsid w:val="00DC6CEF"/>
    <w:rsid w:val="00DC72AB"/>
    <w:rsid w:val="00DC7474"/>
    <w:rsid w:val="00DC7592"/>
    <w:rsid w:val="00DC7C21"/>
    <w:rsid w:val="00DD0294"/>
    <w:rsid w:val="00DD14DA"/>
    <w:rsid w:val="00DD18CB"/>
    <w:rsid w:val="00DD223B"/>
    <w:rsid w:val="00DD3702"/>
    <w:rsid w:val="00DD38C1"/>
    <w:rsid w:val="00DD5DB4"/>
    <w:rsid w:val="00DD68E6"/>
    <w:rsid w:val="00DE0A09"/>
    <w:rsid w:val="00DE11E3"/>
    <w:rsid w:val="00DE22DD"/>
    <w:rsid w:val="00DE3E6D"/>
    <w:rsid w:val="00DE4A4D"/>
    <w:rsid w:val="00DE5CFE"/>
    <w:rsid w:val="00DE5DE5"/>
    <w:rsid w:val="00DE74D5"/>
    <w:rsid w:val="00DE75DB"/>
    <w:rsid w:val="00DF3C87"/>
    <w:rsid w:val="00DF4C4A"/>
    <w:rsid w:val="00DF713B"/>
    <w:rsid w:val="00E006FE"/>
    <w:rsid w:val="00E00E89"/>
    <w:rsid w:val="00E01BB9"/>
    <w:rsid w:val="00E020AF"/>
    <w:rsid w:val="00E02F2B"/>
    <w:rsid w:val="00E03048"/>
    <w:rsid w:val="00E04B6A"/>
    <w:rsid w:val="00E04C0F"/>
    <w:rsid w:val="00E06398"/>
    <w:rsid w:val="00E066A2"/>
    <w:rsid w:val="00E0689E"/>
    <w:rsid w:val="00E06ECD"/>
    <w:rsid w:val="00E0775A"/>
    <w:rsid w:val="00E07AE9"/>
    <w:rsid w:val="00E13419"/>
    <w:rsid w:val="00E13C92"/>
    <w:rsid w:val="00E13DBC"/>
    <w:rsid w:val="00E14E17"/>
    <w:rsid w:val="00E15483"/>
    <w:rsid w:val="00E16FD7"/>
    <w:rsid w:val="00E224E6"/>
    <w:rsid w:val="00E22F51"/>
    <w:rsid w:val="00E23134"/>
    <w:rsid w:val="00E23484"/>
    <w:rsid w:val="00E236D3"/>
    <w:rsid w:val="00E24980"/>
    <w:rsid w:val="00E24E82"/>
    <w:rsid w:val="00E24F31"/>
    <w:rsid w:val="00E264C9"/>
    <w:rsid w:val="00E31023"/>
    <w:rsid w:val="00E316AB"/>
    <w:rsid w:val="00E3191A"/>
    <w:rsid w:val="00E31D6C"/>
    <w:rsid w:val="00E32409"/>
    <w:rsid w:val="00E3242F"/>
    <w:rsid w:val="00E3251A"/>
    <w:rsid w:val="00E33EBD"/>
    <w:rsid w:val="00E349E9"/>
    <w:rsid w:val="00E36850"/>
    <w:rsid w:val="00E37441"/>
    <w:rsid w:val="00E37EFA"/>
    <w:rsid w:val="00E41687"/>
    <w:rsid w:val="00E429C2"/>
    <w:rsid w:val="00E4371D"/>
    <w:rsid w:val="00E45879"/>
    <w:rsid w:val="00E46A23"/>
    <w:rsid w:val="00E4705E"/>
    <w:rsid w:val="00E5111D"/>
    <w:rsid w:val="00E515C9"/>
    <w:rsid w:val="00E5250F"/>
    <w:rsid w:val="00E5258C"/>
    <w:rsid w:val="00E52B55"/>
    <w:rsid w:val="00E52EA9"/>
    <w:rsid w:val="00E53421"/>
    <w:rsid w:val="00E53525"/>
    <w:rsid w:val="00E545EC"/>
    <w:rsid w:val="00E54EBA"/>
    <w:rsid w:val="00E55F3D"/>
    <w:rsid w:val="00E563E3"/>
    <w:rsid w:val="00E56561"/>
    <w:rsid w:val="00E571C9"/>
    <w:rsid w:val="00E6037F"/>
    <w:rsid w:val="00E60772"/>
    <w:rsid w:val="00E62B70"/>
    <w:rsid w:val="00E630E8"/>
    <w:rsid w:val="00E639F2"/>
    <w:rsid w:val="00E65827"/>
    <w:rsid w:val="00E66171"/>
    <w:rsid w:val="00E674F7"/>
    <w:rsid w:val="00E72140"/>
    <w:rsid w:val="00E7218A"/>
    <w:rsid w:val="00E72332"/>
    <w:rsid w:val="00E7260D"/>
    <w:rsid w:val="00E72C9B"/>
    <w:rsid w:val="00E73457"/>
    <w:rsid w:val="00E7367E"/>
    <w:rsid w:val="00E7452E"/>
    <w:rsid w:val="00E772EF"/>
    <w:rsid w:val="00E80CAB"/>
    <w:rsid w:val="00E81BDA"/>
    <w:rsid w:val="00E842BB"/>
    <w:rsid w:val="00E84D28"/>
    <w:rsid w:val="00E90353"/>
    <w:rsid w:val="00E92402"/>
    <w:rsid w:val="00E925AE"/>
    <w:rsid w:val="00E927D0"/>
    <w:rsid w:val="00E92CBE"/>
    <w:rsid w:val="00E936E6"/>
    <w:rsid w:val="00E9469A"/>
    <w:rsid w:val="00E97D04"/>
    <w:rsid w:val="00EA0EDE"/>
    <w:rsid w:val="00EA134A"/>
    <w:rsid w:val="00EA19AA"/>
    <w:rsid w:val="00EA288F"/>
    <w:rsid w:val="00EA316C"/>
    <w:rsid w:val="00EA655F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5F76"/>
    <w:rsid w:val="00EB6817"/>
    <w:rsid w:val="00EC1060"/>
    <w:rsid w:val="00EC1B0E"/>
    <w:rsid w:val="00EC1C48"/>
    <w:rsid w:val="00EC48DF"/>
    <w:rsid w:val="00EC499E"/>
    <w:rsid w:val="00EC4BFD"/>
    <w:rsid w:val="00EC4F7E"/>
    <w:rsid w:val="00EC51F6"/>
    <w:rsid w:val="00EC51F9"/>
    <w:rsid w:val="00ED022A"/>
    <w:rsid w:val="00ED0710"/>
    <w:rsid w:val="00ED1EC9"/>
    <w:rsid w:val="00ED328F"/>
    <w:rsid w:val="00ED32F8"/>
    <w:rsid w:val="00ED419F"/>
    <w:rsid w:val="00ED47F0"/>
    <w:rsid w:val="00ED5ABC"/>
    <w:rsid w:val="00ED69F2"/>
    <w:rsid w:val="00EE0CA0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46D9"/>
    <w:rsid w:val="00EF4B99"/>
    <w:rsid w:val="00EF4CCA"/>
    <w:rsid w:val="00EF573E"/>
    <w:rsid w:val="00EF6035"/>
    <w:rsid w:val="00EF6AC0"/>
    <w:rsid w:val="00F003E0"/>
    <w:rsid w:val="00F00FE5"/>
    <w:rsid w:val="00F027D6"/>
    <w:rsid w:val="00F02F91"/>
    <w:rsid w:val="00F038A8"/>
    <w:rsid w:val="00F04B19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595E"/>
    <w:rsid w:val="00F16AA3"/>
    <w:rsid w:val="00F178C4"/>
    <w:rsid w:val="00F2002E"/>
    <w:rsid w:val="00F204FC"/>
    <w:rsid w:val="00F20E7A"/>
    <w:rsid w:val="00F20FD3"/>
    <w:rsid w:val="00F21FCF"/>
    <w:rsid w:val="00F2449D"/>
    <w:rsid w:val="00F267BB"/>
    <w:rsid w:val="00F274A1"/>
    <w:rsid w:val="00F339EF"/>
    <w:rsid w:val="00F35111"/>
    <w:rsid w:val="00F356BA"/>
    <w:rsid w:val="00F403CC"/>
    <w:rsid w:val="00F40436"/>
    <w:rsid w:val="00F40FCC"/>
    <w:rsid w:val="00F4131E"/>
    <w:rsid w:val="00F421EF"/>
    <w:rsid w:val="00F4378F"/>
    <w:rsid w:val="00F439C4"/>
    <w:rsid w:val="00F43AA3"/>
    <w:rsid w:val="00F44821"/>
    <w:rsid w:val="00F44B15"/>
    <w:rsid w:val="00F468FB"/>
    <w:rsid w:val="00F46BB6"/>
    <w:rsid w:val="00F472A5"/>
    <w:rsid w:val="00F478FD"/>
    <w:rsid w:val="00F47FE0"/>
    <w:rsid w:val="00F5021F"/>
    <w:rsid w:val="00F502CA"/>
    <w:rsid w:val="00F5037E"/>
    <w:rsid w:val="00F5199F"/>
    <w:rsid w:val="00F53002"/>
    <w:rsid w:val="00F54B62"/>
    <w:rsid w:val="00F5686A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5550"/>
    <w:rsid w:val="00F76670"/>
    <w:rsid w:val="00F813A3"/>
    <w:rsid w:val="00F81681"/>
    <w:rsid w:val="00F834C1"/>
    <w:rsid w:val="00F83EA2"/>
    <w:rsid w:val="00F83FB0"/>
    <w:rsid w:val="00F847D6"/>
    <w:rsid w:val="00F84D70"/>
    <w:rsid w:val="00F86C3E"/>
    <w:rsid w:val="00F86FCA"/>
    <w:rsid w:val="00F87134"/>
    <w:rsid w:val="00F87413"/>
    <w:rsid w:val="00F9032C"/>
    <w:rsid w:val="00F925F1"/>
    <w:rsid w:val="00F94B23"/>
    <w:rsid w:val="00F9589A"/>
    <w:rsid w:val="00F968C9"/>
    <w:rsid w:val="00F968E2"/>
    <w:rsid w:val="00FA0CA4"/>
    <w:rsid w:val="00FA22DF"/>
    <w:rsid w:val="00FA2B1D"/>
    <w:rsid w:val="00FA45C8"/>
    <w:rsid w:val="00FA6165"/>
    <w:rsid w:val="00FB0D82"/>
    <w:rsid w:val="00FB2713"/>
    <w:rsid w:val="00FB340D"/>
    <w:rsid w:val="00FB40E3"/>
    <w:rsid w:val="00FB42D2"/>
    <w:rsid w:val="00FB446D"/>
    <w:rsid w:val="00FB5C3A"/>
    <w:rsid w:val="00FB617E"/>
    <w:rsid w:val="00FB6DA8"/>
    <w:rsid w:val="00FC1B14"/>
    <w:rsid w:val="00FC1E7C"/>
    <w:rsid w:val="00FC2497"/>
    <w:rsid w:val="00FC46B7"/>
    <w:rsid w:val="00FC4828"/>
    <w:rsid w:val="00FC65E8"/>
    <w:rsid w:val="00FC6AA1"/>
    <w:rsid w:val="00FC7E52"/>
    <w:rsid w:val="00FC7FD1"/>
    <w:rsid w:val="00FD0AB4"/>
    <w:rsid w:val="00FD2B97"/>
    <w:rsid w:val="00FD486D"/>
    <w:rsid w:val="00FD6280"/>
    <w:rsid w:val="00FD70DB"/>
    <w:rsid w:val="00FE0A2D"/>
    <w:rsid w:val="00FE35F6"/>
    <w:rsid w:val="00FE3E4A"/>
    <w:rsid w:val="00FE5380"/>
    <w:rsid w:val="00FE5675"/>
    <w:rsid w:val="00FE60FA"/>
    <w:rsid w:val="00FE6987"/>
    <w:rsid w:val="00FE7AD0"/>
    <w:rsid w:val="00FF2081"/>
    <w:rsid w:val="00FF226F"/>
    <w:rsid w:val="00FF26BE"/>
    <w:rsid w:val="00FF2CB8"/>
    <w:rsid w:val="00FF2DE6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B0944"/>
  </w:style>
  <w:style w:type="paragraph" w:styleId="1">
    <w:name w:val="heading 1"/>
    <w:basedOn w:val="a3"/>
    <w:next w:val="a3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unhideWhenUsed/>
    <w:qFormat/>
    <w:rsid w:val="00B5272F"/>
    <w:pPr>
      <w:keepNext/>
      <w:keepLines/>
      <w:spacing w:before="360" w:after="0"/>
      <w:ind w:firstLine="567"/>
      <w:jc w:val="both"/>
      <w:outlineLvl w:val="1"/>
    </w:pPr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70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9">
    <w:name w:val="annotation reference"/>
    <w:basedOn w:val="a4"/>
    <w:uiPriority w:val="99"/>
    <w:semiHidden/>
    <w:unhideWhenUsed/>
    <w:rsid w:val="00C93E95"/>
    <w:rPr>
      <w:sz w:val="16"/>
      <w:szCs w:val="16"/>
    </w:rPr>
  </w:style>
  <w:style w:type="paragraph" w:styleId="aa">
    <w:name w:val="annotation text"/>
    <w:basedOn w:val="a3"/>
    <w:link w:val="ab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4"/>
    <w:link w:val="aa"/>
    <w:uiPriority w:val="99"/>
    <w:rsid w:val="00C93E9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3E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3E9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E72C9B"/>
    <w:pPr>
      <w:spacing w:after="0" w:line="240" w:lineRule="auto"/>
    </w:pPr>
  </w:style>
  <w:style w:type="paragraph" w:styleId="af">
    <w:name w:val="List Paragraph"/>
    <w:basedOn w:val="a3"/>
    <w:link w:val="af0"/>
    <w:uiPriority w:val="34"/>
    <w:qFormat/>
    <w:rsid w:val="00820C43"/>
    <w:pPr>
      <w:ind w:left="720"/>
      <w:contextualSpacing/>
    </w:pPr>
  </w:style>
  <w:style w:type="paragraph" w:styleId="af1">
    <w:name w:val="Plain Text"/>
    <w:basedOn w:val="a3"/>
    <w:link w:val="af2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2">
    <w:name w:val="Текст Знак"/>
    <w:basedOn w:val="a4"/>
    <w:link w:val="af1"/>
    <w:uiPriority w:val="99"/>
    <w:semiHidden/>
    <w:rsid w:val="00BA4652"/>
    <w:rPr>
      <w:rFonts w:ascii="Calibri" w:hAnsi="Calibri"/>
      <w:szCs w:val="21"/>
    </w:rPr>
  </w:style>
  <w:style w:type="paragraph" w:styleId="af3">
    <w:name w:val="footnote text"/>
    <w:basedOn w:val="a3"/>
    <w:link w:val="af4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4"/>
    <w:link w:val="af3"/>
    <w:rsid w:val="003F7FE8"/>
    <w:rPr>
      <w:sz w:val="20"/>
      <w:szCs w:val="20"/>
    </w:rPr>
  </w:style>
  <w:style w:type="character" w:styleId="af5">
    <w:name w:val="footnote reference"/>
    <w:basedOn w:val="a4"/>
    <w:unhideWhenUsed/>
    <w:rsid w:val="003F7FE8"/>
    <w:rPr>
      <w:vertAlign w:val="superscript"/>
    </w:rPr>
  </w:style>
  <w:style w:type="table" w:styleId="af6">
    <w:name w:val="Table Grid"/>
    <w:basedOn w:val="a5"/>
    <w:uiPriority w:val="39"/>
    <w:rsid w:val="00B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3"/>
    <w:link w:val="af8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4"/>
    <w:link w:val="af7"/>
    <w:uiPriority w:val="99"/>
    <w:rsid w:val="001873A7"/>
  </w:style>
  <w:style w:type="paragraph" w:styleId="af9">
    <w:name w:val="footer"/>
    <w:basedOn w:val="a3"/>
    <w:link w:val="afa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4"/>
    <w:link w:val="af9"/>
    <w:uiPriority w:val="99"/>
    <w:rsid w:val="001873A7"/>
  </w:style>
  <w:style w:type="character" w:customStyle="1" w:styleId="apple-converted-space">
    <w:name w:val="apple-converted-space"/>
    <w:basedOn w:val="a4"/>
    <w:rsid w:val="009F400E"/>
  </w:style>
  <w:style w:type="paragraph" w:styleId="afb">
    <w:name w:val="Normal (Web)"/>
    <w:basedOn w:val="a3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4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3"/>
    <w:qFormat/>
    <w:rsid w:val="00D11B4A"/>
    <w:pPr>
      <w:keepLines/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8"/>
      <w:szCs w:val="28"/>
    </w:rPr>
  </w:style>
  <w:style w:type="paragraph" w:customStyle="1" w:styleId="afc">
    <w:name w:val="Абзац в параграфе"/>
    <w:basedOn w:val="a3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2">
    <w:name w:val="подпункт"/>
    <w:basedOn w:val="afc"/>
    <w:qFormat/>
    <w:rsid w:val="00D11B4A"/>
    <w:pPr>
      <w:numPr>
        <w:numId w:val="2"/>
      </w:numPr>
      <w:ind w:left="0" w:firstLine="851"/>
    </w:pPr>
  </w:style>
  <w:style w:type="paragraph" w:styleId="afd">
    <w:name w:val="Subtitle"/>
    <w:basedOn w:val="a3"/>
    <w:next w:val="a3"/>
    <w:link w:val="afe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e">
    <w:name w:val="Подзаголовок Знак"/>
    <w:basedOn w:val="a4"/>
    <w:link w:val="afd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f">
    <w:name w:val="Hyperlink"/>
    <w:basedOn w:val="a4"/>
    <w:uiPriority w:val="99"/>
    <w:unhideWhenUsed/>
    <w:rsid w:val="000738BA"/>
    <w:rPr>
      <w:color w:val="0000FF"/>
      <w:u w:val="single"/>
    </w:rPr>
  </w:style>
  <w:style w:type="character" w:styleId="aff0">
    <w:name w:val="Strong"/>
    <w:uiPriority w:val="22"/>
    <w:qFormat/>
    <w:rsid w:val="00E7218A"/>
    <w:rPr>
      <w:b/>
      <w:bCs/>
    </w:rPr>
  </w:style>
  <w:style w:type="paragraph" w:customStyle="1" w:styleId="ConsPlusNormal">
    <w:name w:val="ConsPlusNormal"/>
    <w:basedOn w:val="a3"/>
    <w:rsid w:val="007B4B0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0">
    <w:name w:val="List"/>
    <w:basedOn w:val="a3"/>
    <w:rsid w:val="007B4B0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4"/>
    <w:link w:val="2"/>
    <w:uiPriority w:val="9"/>
    <w:rsid w:val="00B5272F"/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character" w:customStyle="1" w:styleId="30">
    <w:name w:val="Заголовок 3 Знак"/>
    <w:basedOn w:val="a4"/>
    <w:link w:val="3"/>
    <w:uiPriority w:val="9"/>
    <w:semiHidden/>
    <w:rsid w:val="00570D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1">
    <w:name w:val="Перечень"/>
    <w:basedOn w:val="af"/>
    <w:link w:val="aff1"/>
    <w:uiPriority w:val="99"/>
    <w:rsid w:val="00C179CF"/>
    <w:pPr>
      <w:numPr>
        <w:numId w:val="15"/>
      </w:numPr>
      <w:spacing w:before="120" w:after="0"/>
      <w:ind w:left="851" w:hanging="284"/>
      <w:contextualSpacing w:val="0"/>
      <w:jc w:val="both"/>
    </w:pPr>
    <w:rPr>
      <w:rFonts w:ascii="Times New Roman CYR" w:eastAsia="Calibri" w:hAnsi="Times New Roman CYR" w:cs="Times New Roman"/>
      <w:color w:val="006666"/>
      <w:sz w:val="24"/>
      <w:lang w:eastAsia="en-US"/>
    </w:rPr>
  </w:style>
  <w:style w:type="character" w:customStyle="1" w:styleId="af0">
    <w:name w:val="Абзац списка Знак"/>
    <w:link w:val="af"/>
    <w:uiPriority w:val="99"/>
    <w:locked/>
    <w:rsid w:val="00C179CF"/>
  </w:style>
  <w:style w:type="character" w:customStyle="1" w:styleId="aff1">
    <w:name w:val="Перечень Знак"/>
    <w:link w:val="a1"/>
    <w:uiPriority w:val="99"/>
    <w:locked/>
    <w:rsid w:val="00C179CF"/>
    <w:rPr>
      <w:rFonts w:ascii="Times New Roman CYR" w:eastAsia="Calibri" w:hAnsi="Times New Roman CYR" w:cs="Times New Roman"/>
      <w:color w:val="006666"/>
      <w:sz w:val="24"/>
      <w:lang w:eastAsia="en-US"/>
    </w:rPr>
  </w:style>
  <w:style w:type="paragraph" w:customStyle="1" w:styleId="11">
    <w:name w:val="Абзац списка1"/>
    <w:basedOn w:val="a3"/>
    <w:rsid w:val="008130A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245">
          <w:blockQuote w:val="1"/>
          <w:marLeft w:val="0"/>
          <w:marRight w:val="-8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521">
              <w:marLeft w:val="0"/>
              <w:marRight w:val="0"/>
              <w:marTop w:val="0"/>
              <w:marBottom w:val="0"/>
              <w:divBdr>
                <w:top w:val="single" w:sz="4" w:space="4" w:color="auto"/>
                <w:left w:val="single" w:sz="4" w:space="4" w:color="auto"/>
                <w:bottom w:val="none" w:sz="0" w:space="0" w:color="auto"/>
                <w:right w:val="single" w:sz="4" w:space="4" w:color="auto"/>
              </w:divBdr>
              <w:divsChild>
                <w:div w:id="1105733401">
                  <w:marLeft w:val="0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800F-9906-444E-B863-89C827BD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2017-11-03T09:34:00Z</cp:lastPrinted>
  <dcterms:created xsi:type="dcterms:W3CDTF">2018-12-04T12:29:00Z</dcterms:created>
  <dcterms:modified xsi:type="dcterms:W3CDTF">2018-12-04T12:29:00Z</dcterms:modified>
</cp:coreProperties>
</file>