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16" w:rsidRPr="00842F16" w:rsidRDefault="00842F16" w:rsidP="00842F16">
      <w:pPr>
        <w:pStyle w:val="blog-text"/>
        <w:spacing w:before="80" w:beforeAutospacing="0" w:after="80" w:afterAutospacing="0" w:line="250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 w:rsidRPr="004D76C8">
        <w:rPr>
          <w:rFonts w:ascii="Verdana" w:hAnsi="Verdana"/>
          <w:b/>
          <w:color w:val="000000"/>
          <w:sz w:val="19"/>
          <w:szCs w:val="19"/>
        </w:rPr>
        <w:t xml:space="preserve">Алексей Шаронов, </w:t>
      </w:r>
      <w:r w:rsidRPr="00842F16">
        <w:rPr>
          <w:b/>
        </w:rPr>
        <w:t>АО "Сбербанк Лизинг", Нижний Новгород </w:t>
      </w:r>
    </w:p>
    <w:p w:rsidR="004D76C8" w:rsidRDefault="00E61921" w:rsidP="00842F16">
      <w:pPr>
        <w:pStyle w:val="blog-text"/>
        <w:spacing w:before="80" w:beforeAutospacing="0" w:after="80" w:afterAutospacing="0" w:line="250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1) Пункт 4 Стандарта. «Арендованные основные средства учитываются в порядке, предусмотренном настоящим Стандартом, с учетом особенностей, установленных нормативными правовыми актами по бухгалтерскому учету аренды</w:t>
      </w:r>
      <w:proofErr w:type="gramStart"/>
      <w:r>
        <w:rPr>
          <w:rFonts w:ascii="Verdana" w:hAnsi="Verdana"/>
          <w:color w:val="000000"/>
          <w:sz w:val="19"/>
          <w:szCs w:val="19"/>
        </w:rPr>
        <w:t>.»</w:t>
      </w:r>
      <w:r>
        <w:rPr>
          <w:rFonts w:ascii="Verdana" w:hAnsi="Verdana"/>
          <w:color w:val="000000"/>
          <w:sz w:val="19"/>
          <w:szCs w:val="19"/>
        </w:rPr>
        <w:br/>
      </w:r>
      <w:proofErr w:type="gramEnd"/>
      <w:r>
        <w:rPr>
          <w:rFonts w:ascii="Verdana" w:hAnsi="Verdana"/>
          <w:color w:val="000000"/>
          <w:sz w:val="19"/>
          <w:szCs w:val="19"/>
        </w:rPr>
        <w:t>Считаем целесообразным синхронизировать сроки ввода в действие стандартов «Основные средства» и «Аренда».</w:t>
      </w:r>
      <w:r>
        <w:rPr>
          <w:rFonts w:ascii="Verdana" w:hAnsi="Verdana"/>
          <w:color w:val="000000"/>
          <w:sz w:val="19"/>
          <w:szCs w:val="19"/>
        </w:rPr>
        <w:br/>
      </w:r>
    </w:p>
    <w:p w:rsidR="004D76C8" w:rsidRDefault="00E61921" w:rsidP="00842F16">
      <w:pPr>
        <w:pStyle w:val="blog-text"/>
        <w:spacing w:before="80" w:beforeAutospacing="0" w:after="80" w:afterAutospacing="0" w:line="250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2) </w:t>
      </w:r>
      <w:proofErr w:type="gramStart"/>
      <w:r>
        <w:rPr>
          <w:rFonts w:ascii="Verdana" w:hAnsi="Verdana"/>
          <w:color w:val="000000"/>
          <w:sz w:val="19"/>
          <w:szCs w:val="19"/>
        </w:rPr>
        <w:t>Подпункт б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пункта 5 Стандарта. </w:t>
      </w:r>
      <w:proofErr w:type="gramStart"/>
      <w:r>
        <w:rPr>
          <w:rFonts w:ascii="Verdana" w:hAnsi="Verdana"/>
          <w:color w:val="000000"/>
          <w:sz w:val="19"/>
          <w:szCs w:val="19"/>
        </w:rPr>
        <w:t>Настоящий Стандарт не применяется в отношении:</w:t>
      </w:r>
      <w:r>
        <w:rPr>
          <w:rFonts w:ascii="Verdana" w:hAnsi="Verdana"/>
          <w:color w:val="000000"/>
          <w:sz w:val="19"/>
          <w:szCs w:val="19"/>
        </w:rPr>
        <w:br/>
        <w:t>б) недвижимости, которая находится во владении организации с целью получения арендных платежей или прироста ее стоимости, или и того, и другого, но не для использования в производстве или поставке товаров, оказании услуг, в административных целях, а также не для продажи в ходе обычной деятельности (далее – инвестиционная недвижимость);</w:t>
      </w:r>
      <w:proofErr w:type="gramEnd"/>
      <w:r>
        <w:rPr>
          <w:rFonts w:ascii="Verdana" w:hAnsi="Verdana"/>
          <w:color w:val="000000"/>
          <w:sz w:val="19"/>
          <w:szCs w:val="19"/>
        </w:rPr>
        <w:br/>
        <w:t>Считаем целесообразным синхронизировать сроки ввода в действие стандартов «Основные средства» и «Инвестиционная недвижимость» или сделать отсылку на применение международного стандарта до разработки национального.</w:t>
      </w:r>
      <w:r>
        <w:rPr>
          <w:rFonts w:ascii="Verdana" w:hAnsi="Verdana"/>
          <w:color w:val="000000"/>
          <w:sz w:val="19"/>
          <w:szCs w:val="19"/>
        </w:rPr>
        <w:br/>
      </w:r>
    </w:p>
    <w:p w:rsidR="004D76C8" w:rsidRDefault="00E61921" w:rsidP="00842F16">
      <w:pPr>
        <w:pStyle w:val="blog-text"/>
        <w:spacing w:before="80" w:beforeAutospacing="0" w:after="80" w:afterAutospacing="0" w:line="250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3) В соответствии со стандартом предметы лизинга у Лизингодателя классифицируется в составе основных средств до момента передачи Лизингополучателю. </w:t>
      </w:r>
      <w:proofErr w:type="gramStart"/>
      <w:r>
        <w:rPr>
          <w:rFonts w:ascii="Verdana" w:hAnsi="Verdana"/>
          <w:color w:val="000000"/>
          <w:sz w:val="19"/>
          <w:szCs w:val="19"/>
        </w:rPr>
        <w:t>(Подпункт б пункта 3.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Основными средствами являются активы, характеризующиеся совокупностью следующих признаков:</w:t>
      </w:r>
      <w:r>
        <w:rPr>
          <w:rFonts w:ascii="Verdana" w:hAnsi="Verdana"/>
          <w:color w:val="000000"/>
          <w:sz w:val="19"/>
          <w:szCs w:val="19"/>
        </w:rPr>
        <w:br/>
        <w:t>б) актив предназначен для … предоставления за плату во временное владение и (или) пользование (кроме недвижимости)…)</w:t>
      </w:r>
      <w:r>
        <w:rPr>
          <w:rFonts w:ascii="Verdana" w:hAnsi="Verdana"/>
          <w:color w:val="000000"/>
          <w:sz w:val="19"/>
          <w:szCs w:val="19"/>
        </w:rPr>
        <w:br/>
        <w:t xml:space="preserve">После передачи в Лизингополучателю предмет лизинга прекращает признаваться у </w:t>
      </w:r>
      <w:proofErr w:type="gramStart"/>
      <w:r>
        <w:rPr>
          <w:rFonts w:ascii="Verdana" w:hAnsi="Verdana"/>
          <w:color w:val="000000"/>
          <w:sz w:val="19"/>
          <w:szCs w:val="19"/>
        </w:rPr>
        <w:t>Лизингодателя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и подлежит признанию у Лизингополучателя. </w:t>
      </w:r>
      <w:proofErr w:type="gramStart"/>
      <w:r>
        <w:rPr>
          <w:rFonts w:ascii="Verdana" w:hAnsi="Verdana"/>
          <w:color w:val="000000"/>
          <w:sz w:val="19"/>
          <w:szCs w:val="19"/>
        </w:rPr>
        <w:t>(Подпункт б пункта 62.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Основное средство списывается (прекращает признаваться в качестве актива), если от его использования или выбытия не ожидается поступления экономических выгод. </w:t>
      </w:r>
      <w:proofErr w:type="gramStart"/>
      <w:r>
        <w:rPr>
          <w:rFonts w:ascii="Verdana" w:hAnsi="Verdana"/>
          <w:color w:val="000000"/>
          <w:sz w:val="19"/>
          <w:szCs w:val="19"/>
        </w:rPr>
        <w:t>Списание основного средства может быть обусловлено в частности:</w:t>
      </w:r>
      <w:r>
        <w:rPr>
          <w:rFonts w:ascii="Verdana" w:hAnsi="Verdana"/>
          <w:color w:val="000000"/>
          <w:sz w:val="19"/>
          <w:szCs w:val="19"/>
        </w:rPr>
        <w:br/>
        <w:t>б) … передачей в финансовую аренду и др.).</w:t>
      </w:r>
      <w:proofErr w:type="gramEnd"/>
      <w:r>
        <w:rPr>
          <w:rFonts w:ascii="Verdana" w:hAnsi="Verdana"/>
          <w:color w:val="000000"/>
          <w:sz w:val="19"/>
          <w:szCs w:val="19"/>
        </w:rPr>
        <w:br/>
        <w:t xml:space="preserve">При этом стандарт также предусматривает возможность и обязанность переквалифицировать предметы лизинга в «бывшие </w:t>
      </w:r>
      <w:proofErr w:type="spellStart"/>
      <w:r>
        <w:rPr>
          <w:rFonts w:ascii="Verdana" w:hAnsi="Verdana"/>
          <w:color w:val="000000"/>
          <w:sz w:val="19"/>
          <w:szCs w:val="19"/>
        </w:rPr>
        <w:t>внеоборотные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активы к продаже». </w:t>
      </w:r>
      <w:proofErr w:type="gramStart"/>
      <w:r>
        <w:rPr>
          <w:rFonts w:ascii="Verdana" w:hAnsi="Verdana"/>
          <w:color w:val="000000"/>
          <w:sz w:val="19"/>
          <w:szCs w:val="19"/>
        </w:rPr>
        <w:t>(Пункт 65.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В случае изменения модели получения экономических выгод от основного средства так, что оно больше не характеризуется совокупностью признаков, указанных в пункте 3 настоящего Стандарта, организация </w:t>
      </w:r>
      <w:proofErr w:type="spellStart"/>
      <w:r>
        <w:rPr>
          <w:rFonts w:ascii="Verdana" w:hAnsi="Verdana"/>
          <w:color w:val="000000"/>
          <w:sz w:val="19"/>
          <w:szCs w:val="19"/>
        </w:rPr>
        <w:t>переклассифицирует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основное средство в другой соответствующий вид актива. </w:t>
      </w:r>
      <w:proofErr w:type="gramStart"/>
      <w:r>
        <w:rPr>
          <w:rFonts w:ascii="Verdana" w:hAnsi="Verdana"/>
          <w:color w:val="000000"/>
          <w:sz w:val="19"/>
          <w:szCs w:val="19"/>
        </w:rPr>
        <w:t xml:space="preserve">В частности, в случае принятия решения о передаче основного средства другим лицам по договорам продажи, мены, вклада в капитал другой организации, финансовой аренды и др. основное средство </w:t>
      </w:r>
      <w:proofErr w:type="spellStart"/>
      <w:r>
        <w:rPr>
          <w:rFonts w:ascii="Verdana" w:hAnsi="Verdana"/>
          <w:color w:val="000000"/>
          <w:sz w:val="19"/>
          <w:szCs w:val="19"/>
        </w:rPr>
        <w:t>переклассифицируется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 бывшие </w:t>
      </w:r>
      <w:proofErr w:type="spellStart"/>
      <w:r>
        <w:rPr>
          <w:rFonts w:ascii="Verdana" w:hAnsi="Verdana"/>
          <w:color w:val="000000"/>
          <w:sz w:val="19"/>
          <w:szCs w:val="19"/>
        </w:rPr>
        <w:t>внеоборотные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активы к продаже в момент прекращения его эксплуатации в связи с подготовкой к такой передаче.).</w:t>
      </w:r>
      <w:proofErr w:type="gramEnd"/>
      <w:r>
        <w:rPr>
          <w:rFonts w:ascii="Verdana" w:hAnsi="Verdana"/>
          <w:color w:val="000000"/>
          <w:sz w:val="19"/>
          <w:szCs w:val="19"/>
        </w:rPr>
        <w:br/>
        <w:t xml:space="preserve">Считаем целесообразным единообразно определить в </w:t>
      </w:r>
      <w:proofErr w:type="gramStart"/>
      <w:r>
        <w:rPr>
          <w:rFonts w:ascii="Verdana" w:hAnsi="Verdana"/>
          <w:color w:val="000000"/>
          <w:sz w:val="19"/>
          <w:szCs w:val="19"/>
        </w:rPr>
        <w:t>стандарте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что происходит с основным средством при передаче его в финансовую аренду – списание или переквалификация.</w:t>
      </w:r>
      <w:r>
        <w:rPr>
          <w:rFonts w:ascii="Verdana" w:hAnsi="Verdana"/>
          <w:color w:val="000000"/>
          <w:sz w:val="19"/>
          <w:szCs w:val="19"/>
        </w:rPr>
        <w:br/>
      </w:r>
    </w:p>
    <w:p w:rsidR="00E61921" w:rsidRDefault="00E61921" w:rsidP="00842F16">
      <w:pPr>
        <w:pStyle w:val="blog-text"/>
        <w:spacing w:before="80" w:beforeAutospacing="0" w:after="80" w:afterAutospacing="0" w:line="250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4) Перед лизинговыми компаниями и лизингополучателями встанет вопрос, что делать с действующими договорами лизинга, с условием учета имущества на балансе лизингодателя. В момент вступления в действие стандарта и обязательного его применения делать трансформацию учета «старых договоров»? Продолжать учет «старых договоров» по «старым правилам», а новых по правилам нового стандарта? Предлагаем рассмотреть возможность применения переходного периода с раскрытием этого факта в бухгалтерской отчетности.</w:t>
      </w:r>
      <w:r>
        <w:rPr>
          <w:rFonts w:ascii="Verdana" w:hAnsi="Verdana"/>
          <w:color w:val="000000"/>
          <w:sz w:val="19"/>
          <w:szCs w:val="19"/>
        </w:rPr>
        <w:br/>
        <w:t>5) Предлагаемая стандартом смена порядка учета предметов лизинга изменит налоговую нагрузку среди участников рынка лизинговых услуг. В части налога на имущество предметов лизинга, принятых на учет в качестве объектов основных средств до 2013 года.</w:t>
      </w:r>
    </w:p>
    <w:p w:rsidR="00E61921" w:rsidRDefault="00E61921" w:rsidP="00842F16">
      <w:pPr>
        <w:pStyle w:val="blog-info"/>
        <w:spacing w:before="80" w:beforeAutospacing="0" w:after="80" w:afterAutospacing="0" w:line="250" w:lineRule="atLeast"/>
        <w:textAlignment w:val="baseline"/>
        <w:rPr>
          <w:rFonts w:ascii="Verdana" w:hAnsi="Verdana"/>
          <w:b/>
          <w:bCs/>
          <w:color w:val="000000"/>
          <w:sz w:val="15"/>
          <w:szCs w:val="15"/>
          <w:lang w:val="en-US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30.08.2016, 08:11</w:t>
      </w:r>
    </w:p>
    <w:p w:rsidR="00842F16" w:rsidRPr="00842F16" w:rsidRDefault="00842F16" w:rsidP="00842F16">
      <w:pPr>
        <w:pStyle w:val="blog-title"/>
        <w:spacing w:before="48" w:beforeAutospacing="0" w:after="80" w:afterAutospacing="0" w:line="250" w:lineRule="atLeast"/>
        <w:textAlignment w:val="baseline"/>
        <w:rPr>
          <w:rFonts w:ascii="Verdana" w:hAnsi="Verdana"/>
          <w:b/>
          <w:color w:val="000000"/>
          <w:sz w:val="19"/>
          <w:szCs w:val="19"/>
        </w:rPr>
      </w:pPr>
    </w:p>
    <w:p w:rsidR="00842F16" w:rsidRPr="00842F16" w:rsidRDefault="00842F16" w:rsidP="00E61921">
      <w:pPr>
        <w:pStyle w:val="blog-info"/>
        <w:spacing w:before="80" w:beforeAutospacing="0" w:after="80" w:afterAutospacing="0" w:line="250" w:lineRule="atLeast"/>
        <w:textAlignment w:val="baseline"/>
        <w:rPr>
          <w:rFonts w:ascii="Verdana" w:hAnsi="Verdana"/>
          <w:b/>
          <w:bCs/>
          <w:color w:val="000000"/>
          <w:sz w:val="15"/>
          <w:szCs w:val="15"/>
        </w:rPr>
      </w:pPr>
    </w:p>
    <w:p w:rsidR="00E61921" w:rsidRPr="0052448E" w:rsidRDefault="0052448E" w:rsidP="0052448E">
      <w:pPr>
        <w:pageBreakBefore/>
        <w:rPr>
          <w:b/>
          <w:color w:val="C00000"/>
        </w:rPr>
      </w:pPr>
      <w:r w:rsidRPr="0052448E">
        <w:rPr>
          <w:b/>
          <w:color w:val="C00000"/>
        </w:rPr>
        <w:lastRenderedPageBreak/>
        <w:t>Результат обсуждения:</w:t>
      </w:r>
    </w:p>
    <w:p w:rsidR="0052448E" w:rsidRPr="0052448E" w:rsidRDefault="0052448E" w:rsidP="0052448E">
      <w:pPr>
        <w:rPr>
          <w:rFonts w:ascii="Arial Narrow" w:hAnsi="Arial Narrow" w:cs="Times New Roman"/>
          <w:color w:val="0070C0"/>
          <w:sz w:val="28"/>
          <w:szCs w:val="28"/>
        </w:rPr>
      </w:pPr>
      <w:r w:rsidRPr="0052448E">
        <w:rPr>
          <w:rFonts w:ascii="Arial Narrow" w:hAnsi="Arial Narrow" w:cs="Times New Roman"/>
          <w:i/>
          <w:iCs/>
          <w:color w:val="0070C0"/>
          <w:sz w:val="28"/>
          <w:szCs w:val="28"/>
        </w:rPr>
        <w:t>ФСБУ ОС по сравнению с ПБУ 6 в части правил учета аренды ничего не меняет (кроме исключения из сферы стандарта Инвестиционной недвижимости). Все изложенные в письме беспокойства совершенно справедливы, но они едва ли могут быть увязаны с ФСБУ ОС. Норма пункта 7 ПБУ 1 действует уже сейчас, поэтому уже сейчас по-хорошему все организации для учета аренда ДОЛЖНЫ применять МСФО, поскольку норм в РПБУ нет. Приказ №15 никаких требований по существу (к признанию, оценке, классификации) не устанавливает, а регулирует лишь записи по счетам (и то очень ограниченно). Мы понимаем, что МСФО для учета аренды у нас применяют редко, но это вопрос фактического повсеместного игнорирования требований нормативных актов, а не вопрос ввода новых ФСБУ</w:t>
      </w:r>
    </w:p>
    <w:p w:rsidR="0052448E" w:rsidRPr="0052448E" w:rsidRDefault="0052448E">
      <w:pPr>
        <w:rPr>
          <w:rFonts w:ascii="Arial Narrow" w:hAnsi="Arial Narrow" w:cs="Times New Roman"/>
          <w:color w:val="0070C0"/>
          <w:sz w:val="28"/>
          <w:szCs w:val="28"/>
        </w:rPr>
      </w:pPr>
    </w:p>
    <w:sectPr w:rsidR="0052448E" w:rsidRPr="0052448E" w:rsidSect="0072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1921"/>
    <w:rsid w:val="002441B2"/>
    <w:rsid w:val="004D76C8"/>
    <w:rsid w:val="0052448E"/>
    <w:rsid w:val="00724B07"/>
    <w:rsid w:val="00842F16"/>
    <w:rsid w:val="00E6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g-title">
    <w:name w:val="blog-title"/>
    <w:basedOn w:val="a"/>
    <w:rsid w:val="00E6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text">
    <w:name w:val="blog-text"/>
    <w:basedOn w:val="a"/>
    <w:rsid w:val="00E6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info">
    <w:name w:val="blog-info"/>
    <w:basedOn w:val="a"/>
    <w:rsid w:val="00E6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1921"/>
    <w:rPr>
      <w:color w:val="0000FF"/>
      <w:u w:val="single"/>
    </w:rPr>
  </w:style>
  <w:style w:type="character" w:styleId="a4">
    <w:name w:val="Emphasis"/>
    <w:basedOn w:val="a0"/>
    <w:uiPriority w:val="20"/>
    <w:qFormat/>
    <w:rsid w:val="00524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1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2016-09-08T12:12:00Z</dcterms:created>
  <dcterms:modified xsi:type="dcterms:W3CDTF">2016-10-10T11:17:00Z</dcterms:modified>
</cp:coreProperties>
</file>