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39" w:rsidRDefault="008C4039" w:rsidP="008C4039">
      <w:pPr>
        <w:jc w:val="right"/>
        <w:rPr>
          <w:rFonts w:ascii="Calibri" w:eastAsia="Calibri" w:hAnsi="Calibri" w:cs="Times New Roman"/>
          <w:b/>
          <w:bCs/>
          <w:i/>
          <w:color w:val="1F497D" w:themeColor="text2"/>
          <w:spacing w:val="20"/>
        </w:rPr>
      </w:pPr>
      <w:bookmarkStart w:id="0" w:name="_Toc278895843"/>
      <w:r w:rsidRPr="008C4039">
        <w:rPr>
          <w:rFonts w:ascii="Calibri" w:eastAsia="Calibri" w:hAnsi="Calibri" w:cs="Times New Roman"/>
          <w:b/>
          <w:bCs/>
          <w:i/>
          <w:color w:val="1F497D" w:themeColor="text2"/>
          <w:spacing w:val="20"/>
        </w:rPr>
        <w:t>Приложение № 1</w:t>
      </w:r>
    </w:p>
    <w:p w:rsidR="00E73E25" w:rsidRPr="007D58E3" w:rsidRDefault="00E71913" w:rsidP="00E71913">
      <w:pPr>
        <w:jc w:val="right"/>
        <w:rPr>
          <w:rFonts w:ascii="Calibri" w:eastAsia="Calibri" w:hAnsi="Calibri" w:cs="Times New Roman"/>
          <w:b/>
          <w:bCs/>
          <w:i/>
          <w:color w:val="1F497D" w:themeColor="text2"/>
          <w:spacing w:val="20"/>
        </w:rPr>
      </w:pPr>
      <w:r>
        <w:rPr>
          <w:rFonts w:ascii="Calibri" w:eastAsia="Calibri" w:hAnsi="Calibri" w:cs="Times New Roman"/>
          <w:b/>
          <w:bCs/>
          <w:i/>
          <w:color w:val="1F497D" w:themeColor="text2"/>
          <w:spacing w:val="20"/>
        </w:rPr>
        <w:t xml:space="preserve">к Протоколу </w:t>
      </w:r>
      <w:r w:rsidR="00E73E25">
        <w:rPr>
          <w:rFonts w:ascii="Calibri" w:eastAsia="Calibri" w:hAnsi="Calibri" w:cs="Times New Roman"/>
          <w:b/>
          <w:bCs/>
          <w:i/>
          <w:color w:val="1F497D" w:themeColor="text2"/>
          <w:spacing w:val="20"/>
        </w:rPr>
        <w:t>заседан</w:t>
      </w:r>
      <w:r w:rsidR="00E73E25" w:rsidRPr="007D58E3">
        <w:rPr>
          <w:rFonts w:ascii="Calibri" w:eastAsia="Calibri" w:hAnsi="Calibri" w:cs="Times New Roman"/>
          <w:b/>
          <w:bCs/>
          <w:i/>
          <w:color w:val="1F497D" w:themeColor="text2"/>
          <w:spacing w:val="20"/>
        </w:rPr>
        <w:t>и</w:t>
      </w:r>
      <w:r w:rsidR="00E73E25">
        <w:rPr>
          <w:rFonts w:ascii="Calibri" w:eastAsia="Calibri" w:hAnsi="Calibri" w:cs="Times New Roman"/>
          <w:b/>
          <w:bCs/>
          <w:i/>
          <w:color w:val="1F497D" w:themeColor="text2"/>
          <w:spacing w:val="20"/>
        </w:rPr>
        <w:t>я</w:t>
      </w:r>
      <w:r w:rsidR="00E73E25" w:rsidRPr="007D58E3">
        <w:rPr>
          <w:rFonts w:ascii="Calibri" w:eastAsia="Calibri" w:hAnsi="Calibri" w:cs="Times New Roman"/>
          <w:b/>
          <w:bCs/>
          <w:i/>
          <w:color w:val="1F497D" w:themeColor="text2"/>
          <w:spacing w:val="20"/>
        </w:rPr>
        <w:t xml:space="preserve"> РГ ФСБУ НМА </w:t>
      </w:r>
      <w:r>
        <w:rPr>
          <w:rFonts w:ascii="Calibri" w:eastAsia="Calibri" w:hAnsi="Calibri" w:cs="Times New Roman"/>
          <w:b/>
          <w:bCs/>
          <w:i/>
          <w:color w:val="1F497D" w:themeColor="text2"/>
          <w:spacing w:val="20"/>
        </w:rPr>
        <w:t>№ 5</w:t>
      </w:r>
    </w:p>
    <w:p w:rsidR="00E73E25" w:rsidRPr="007D58E3" w:rsidRDefault="00E73E25" w:rsidP="00E73E25">
      <w:pPr>
        <w:jc w:val="right"/>
        <w:rPr>
          <w:rFonts w:ascii="Calibri" w:eastAsia="Calibri" w:hAnsi="Calibri" w:cs="Times New Roman"/>
          <w:b/>
          <w:bCs/>
          <w:i/>
          <w:color w:val="1F497D" w:themeColor="text2"/>
          <w:spacing w:val="20"/>
        </w:rPr>
      </w:pPr>
      <w:r w:rsidRPr="007D58E3">
        <w:rPr>
          <w:rFonts w:ascii="Calibri" w:eastAsia="Calibri" w:hAnsi="Calibri" w:cs="Times New Roman"/>
          <w:b/>
          <w:bCs/>
          <w:i/>
          <w:color w:val="1F497D" w:themeColor="text2"/>
          <w:spacing w:val="20"/>
        </w:rPr>
        <w:t>от 14-04-2017</w:t>
      </w:r>
      <w:r w:rsidR="00185E72">
        <w:rPr>
          <w:rFonts w:ascii="Calibri" w:eastAsia="Calibri" w:hAnsi="Calibri" w:cs="Times New Roman"/>
          <w:b/>
          <w:bCs/>
          <w:i/>
          <w:color w:val="1F497D" w:themeColor="text2"/>
          <w:spacing w:val="20"/>
        </w:rPr>
        <w:t xml:space="preserve"> г.</w:t>
      </w:r>
    </w:p>
    <w:p w:rsidR="00E73E25" w:rsidRPr="008C4039" w:rsidRDefault="00E73E25" w:rsidP="008C4039">
      <w:pPr>
        <w:jc w:val="right"/>
        <w:rPr>
          <w:rFonts w:ascii="Calibri" w:eastAsia="Calibri" w:hAnsi="Calibri" w:cs="Times New Roman"/>
          <w:b/>
          <w:bCs/>
          <w:i/>
          <w:color w:val="1F497D" w:themeColor="text2"/>
          <w:spacing w:val="20"/>
        </w:rPr>
      </w:pPr>
    </w:p>
    <w:p w:rsidR="00D85B33" w:rsidRPr="00AC3604" w:rsidRDefault="00D85B33" w:rsidP="00D85B33">
      <w:pPr>
        <w:pStyle w:val="a4"/>
        <w:ind w:right="141"/>
        <w:rPr>
          <w:rFonts w:ascii="Times New Roman" w:hAnsi="Times New Roman"/>
          <w:sz w:val="28"/>
          <w:szCs w:val="28"/>
        </w:rPr>
      </w:pPr>
      <w:r w:rsidRPr="00AC3604">
        <w:rPr>
          <w:rFonts w:ascii="Times New Roman" w:hAnsi="Times New Roman"/>
          <w:noProof/>
          <w:sz w:val="28"/>
          <w:szCs w:val="28"/>
          <w:lang w:eastAsia="ru-RU"/>
        </w:rPr>
        <w:drawing>
          <wp:inline distT="0" distB="0" distL="0" distR="0">
            <wp:extent cx="1147864" cy="425134"/>
            <wp:effectExtent l="0" t="0" r="0" b="0"/>
            <wp:docPr id="1"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mcenter.ru/users/3078/img/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458" cy="433873"/>
                    </a:xfrm>
                    <a:prstGeom prst="rect">
                      <a:avLst/>
                    </a:prstGeom>
                    <a:noFill/>
                    <a:ln>
                      <a:noFill/>
                    </a:ln>
                  </pic:spPr>
                </pic:pic>
              </a:graphicData>
            </a:graphic>
          </wp:inline>
        </w:drawing>
      </w:r>
    </w:p>
    <w:p w:rsidR="00D85B33" w:rsidRPr="00AC3604" w:rsidRDefault="00D85B33" w:rsidP="00D85B33">
      <w:pPr>
        <w:pStyle w:val="a4"/>
        <w:ind w:right="141"/>
        <w:rPr>
          <w:rFonts w:ascii="Times New Roman" w:hAnsi="Times New Roman"/>
          <w:sz w:val="28"/>
          <w:szCs w:val="28"/>
        </w:rPr>
      </w:pPr>
      <w:r w:rsidRPr="00AC3604">
        <w:rPr>
          <w:rFonts w:ascii="Times New Roman" w:hAnsi="Times New Roman"/>
          <w:sz w:val="28"/>
          <w:szCs w:val="28"/>
        </w:rPr>
        <w:t>ФОНД «НАЦИОНАЛЬНЫЙ НЕГОСУДАРСТВЕННЫЙ</w:t>
      </w:r>
      <w:r w:rsidRPr="00AC3604">
        <w:rPr>
          <w:rFonts w:ascii="Times New Roman" w:hAnsi="Times New Roman"/>
          <w:sz w:val="28"/>
          <w:szCs w:val="28"/>
        </w:rPr>
        <w:br/>
        <w:t>РЕГУЛЯТОР БУХГАЛТЕРСКОГО УЧЁТА</w:t>
      </w:r>
      <w:r w:rsidRPr="00AC3604">
        <w:rPr>
          <w:rFonts w:ascii="Times New Roman" w:hAnsi="Times New Roman"/>
          <w:sz w:val="28"/>
          <w:szCs w:val="28"/>
        </w:rPr>
        <w:br/>
        <w:t>«БУХГАЛТЕРСКИЙ МЕТОДОЛОГИЧЕСКИЙ ЦЕНТР»</w:t>
      </w:r>
    </w:p>
    <w:p w:rsidR="00D85B33" w:rsidRPr="00D85B33" w:rsidRDefault="00D85B33" w:rsidP="00F95D0C">
      <w:pPr>
        <w:jc w:val="center"/>
        <w:rPr>
          <w:rFonts w:ascii="Times New Roman CYR" w:eastAsia="Calibri" w:hAnsi="Times New Roman CYR" w:cs="Times New Roman"/>
          <w:b/>
          <w:i/>
          <w:color w:val="C00000"/>
        </w:rPr>
      </w:pPr>
      <w:r w:rsidRPr="00AC3604">
        <w:rPr>
          <w:rFonts w:ascii="Times New Roman" w:eastAsia="Times New Roman" w:hAnsi="Times New Roman" w:cs="Times New Roman"/>
          <w:b/>
          <w:iCs/>
          <w:color w:val="006666"/>
          <w:spacing w:val="20"/>
          <w:sz w:val="28"/>
          <w:szCs w:val="28"/>
        </w:rPr>
        <w:t>(ФОНД «НРБУ «БМЦ»)</w:t>
      </w:r>
      <w:bookmarkEnd w:id="0"/>
    </w:p>
    <w:p w:rsidR="00D85B33" w:rsidRDefault="00D85B33" w:rsidP="00D85B33">
      <w:pPr>
        <w:jc w:val="center"/>
        <w:rPr>
          <w:rFonts w:ascii="Calibri" w:eastAsia="Calibri" w:hAnsi="Calibri" w:cs="Times New Roman"/>
          <w:b/>
          <w:bCs/>
          <w:color w:val="006666"/>
          <w:spacing w:val="20"/>
          <w:sz w:val="28"/>
          <w:szCs w:val="28"/>
        </w:rPr>
      </w:pPr>
    </w:p>
    <w:p w:rsidR="00E71913" w:rsidRDefault="00E71913" w:rsidP="00E71913">
      <w:pPr>
        <w:jc w:val="center"/>
        <w:rPr>
          <w:rFonts w:ascii="Calibri" w:eastAsia="Calibri" w:hAnsi="Calibri" w:cs="Times New Roman"/>
          <w:b/>
          <w:bCs/>
          <w:color w:val="006666"/>
          <w:spacing w:val="20"/>
          <w:sz w:val="28"/>
          <w:szCs w:val="28"/>
        </w:rPr>
      </w:pPr>
      <w:r>
        <w:rPr>
          <w:rFonts w:ascii="Calibri" w:eastAsia="Calibri" w:hAnsi="Calibri" w:cs="Times New Roman"/>
          <w:b/>
          <w:bCs/>
          <w:color w:val="006666"/>
          <w:spacing w:val="20"/>
          <w:sz w:val="28"/>
          <w:szCs w:val="28"/>
        </w:rPr>
        <w:t xml:space="preserve">ЗАМЕЧАНИЯ К ПРОЕКТУ ФСБУ «НЕМАТЕРИАЛЬНЫЕ АКТИВЫ», </w:t>
      </w:r>
    </w:p>
    <w:p w:rsidR="00D85B33" w:rsidRDefault="00E71913" w:rsidP="00E71913">
      <w:pPr>
        <w:jc w:val="center"/>
        <w:rPr>
          <w:rFonts w:ascii="Calibri" w:eastAsia="Calibri" w:hAnsi="Calibri" w:cs="Times New Roman"/>
          <w:b/>
          <w:bCs/>
          <w:color w:val="006666"/>
          <w:spacing w:val="20"/>
          <w:sz w:val="28"/>
          <w:szCs w:val="28"/>
        </w:rPr>
      </w:pPr>
      <w:r>
        <w:rPr>
          <w:rFonts w:ascii="Calibri" w:eastAsia="Calibri" w:hAnsi="Calibri" w:cs="Times New Roman"/>
          <w:b/>
          <w:bCs/>
          <w:color w:val="006666"/>
          <w:spacing w:val="20"/>
          <w:sz w:val="28"/>
          <w:szCs w:val="28"/>
        </w:rPr>
        <w:t xml:space="preserve">ПОЛУЧЕННЫЕ ОТ </w:t>
      </w:r>
      <w:r w:rsidRPr="00D85B33">
        <w:rPr>
          <w:rFonts w:ascii="Calibri" w:eastAsia="Calibri" w:hAnsi="Calibri" w:cs="Times New Roman"/>
          <w:b/>
          <w:bCs/>
          <w:color w:val="006666"/>
          <w:spacing w:val="20"/>
          <w:sz w:val="28"/>
          <w:szCs w:val="28"/>
        </w:rPr>
        <w:t>ПАО «НК «РОСНЕФТЬ», ПАО АНК «БАШНЕФТЬ»</w:t>
      </w:r>
      <w:r>
        <w:rPr>
          <w:rFonts w:ascii="Calibri" w:eastAsia="Calibri" w:hAnsi="Calibri" w:cs="Times New Roman"/>
          <w:b/>
          <w:bCs/>
          <w:color w:val="006666"/>
          <w:spacing w:val="20"/>
          <w:sz w:val="28"/>
          <w:szCs w:val="28"/>
        </w:rPr>
        <w:t xml:space="preserve">, И РЕЗУЛЬТАТЫ ОБСУЖДЕНИЯ </w:t>
      </w:r>
    </w:p>
    <w:p w:rsidR="007D58E3" w:rsidRDefault="007D58E3" w:rsidP="007D58E3">
      <w:pPr>
        <w:jc w:val="right"/>
        <w:rPr>
          <w:rFonts w:ascii="Calibri" w:eastAsia="Calibri" w:hAnsi="Calibri" w:cs="Times New Roman"/>
          <w:b/>
          <w:bCs/>
          <w:color w:val="006666"/>
          <w:spacing w:val="20"/>
          <w:sz w:val="28"/>
          <w:szCs w:val="28"/>
        </w:rPr>
      </w:pPr>
    </w:p>
    <w:p w:rsidR="00087A39" w:rsidRPr="00F95D0C" w:rsidRDefault="00087A39" w:rsidP="00087A39">
      <w:pPr>
        <w:jc w:val="center"/>
        <w:rPr>
          <w:rFonts w:ascii="Times New Roman" w:eastAsia="Calibri" w:hAnsi="Times New Roman" w:cs="Times New Roman"/>
          <w:b/>
          <w:bCs/>
          <w:color w:val="006666"/>
          <w:spacing w:val="20"/>
          <w:sz w:val="28"/>
          <w:szCs w:val="28"/>
        </w:rPr>
      </w:pPr>
    </w:p>
    <w:tbl>
      <w:tblPr>
        <w:tblW w:w="1546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6"/>
        <w:gridCol w:w="1280"/>
        <w:gridCol w:w="3261"/>
        <w:gridCol w:w="3969"/>
        <w:gridCol w:w="3402"/>
        <w:gridCol w:w="3119"/>
      </w:tblGrid>
      <w:tr w:rsidR="00087A39" w:rsidRPr="00087A39" w:rsidTr="004E18D4">
        <w:trPr>
          <w:tblHeade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стр.</w:t>
            </w:r>
          </w:p>
        </w:tc>
        <w:tc>
          <w:tcPr>
            <w:tcW w:w="1280"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Пункт (абзац, раздел)</w:t>
            </w:r>
          </w:p>
        </w:tc>
        <w:tc>
          <w:tcPr>
            <w:tcW w:w="3261"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Имеющаяся редакция проекта ФСБУ</w:t>
            </w:r>
          </w:p>
        </w:tc>
        <w:tc>
          <w:tcPr>
            <w:tcW w:w="396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Предлагаемая редакция проекта ФСБУ</w:t>
            </w:r>
          </w:p>
        </w:tc>
        <w:tc>
          <w:tcPr>
            <w:tcW w:w="3402"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Обоснование и комментарии</w:t>
            </w:r>
          </w:p>
        </w:tc>
        <w:tc>
          <w:tcPr>
            <w:tcW w:w="311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Результаты обсуждения</w:t>
            </w:r>
          </w:p>
        </w:tc>
      </w:tr>
      <w:tr w:rsidR="00087A39" w:rsidRPr="00A81420"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6</w:t>
            </w:r>
          </w:p>
        </w:tc>
        <w:tc>
          <w:tcPr>
            <w:tcW w:w="1280"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52</w:t>
            </w:r>
          </w:p>
        </w:tc>
        <w:tc>
          <w:tcPr>
            <w:tcW w:w="3261"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Проверка на обесценение</w:t>
            </w:r>
            <w:r w:rsidRPr="00F95D0C">
              <w:rPr>
                <w:rFonts w:ascii="Times New Roman" w:eastAsia="Times New Roman" w:hAnsi="Times New Roman" w:cs="Times New Roman"/>
                <w:color w:val="000000"/>
                <w:sz w:val="20"/>
                <w:szCs w:val="20"/>
              </w:rPr>
              <w:t> </w:t>
            </w:r>
            <w:r w:rsidRPr="00087A39">
              <w:rPr>
                <w:rFonts w:ascii="Times New Roman" w:eastAsia="Times New Roman" w:hAnsi="Times New Roman" w:cs="Times New Roman"/>
                <w:b/>
                <w:bCs/>
                <w:color w:val="000000"/>
                <w:sz w:val="20"/>
                <w:szCs w:val="20"/>
              </w:rPr>
              <w:t>незаконченных разработок</w:t>
            </w:r>
            <w:r w:rsidRPr="00087A39">
              <w:rPr>
                <w:rFonts w:ascii="Times New Roman" w:eastAsia="Times New Roman" w:hAnsi="Times New Roman" w:cs="Times New Roman"/>
                <w:color w:val="000000"/>
                <w:sz w:val="20"/>
                <w:szCs w:val="20"/>
              </w:rPr>
              <w:t>, а также нематериальных активов с неопределенным сроком амортизации проводится, как минимум, в конце каждого отчетного года независимо от наличия признаков возможного обесценения.</w:t>
            </w:r>
          </w:p>
        </w:tc>
        <w:tc>
          <w:tcPr>
            <w:tcW w:w="396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Проверка на обесценение</w:t>
            </w:r>
            <w:r w:rsidRPr="00087A39">
              <w:rPr>
                <w:rFonts w:ascii="Times New Roman" w:eastAsia="Times New Roman" w:hAnsi="Times New Roman" w:cs="Times New Roman"/>
                <w:strike/>
                <w:color w:val="000000"/>
                <w:sz w:val="20"/>
                <w:szCs w:val="20"/>
              </w:rPr>
              <w:t>незаконченных разработок </w:t>
            </w:r>
            <w:r w:rsidRPr="00F95D0C">
              <w:rPr>
                <w:rFonts w:ascii="Times New Roman" w:eastAsia="Times New Roman" w:hAnsi="Times New Roman" w:cs="Times New Roman"/>
                <w:strike/>
                <w:color w:val="000000"/>
                <w:sz w:val="20"/>
                <w:szCs w:val="20"/>
              </w:rPr>
              <w:t> </w:t>
            </w:r>
            <w:r w:rsidRPr="00087A39">
              <w:rPr>
                <w:rFonts w:ascii="Times New Roman" w:eastAsia="Times New Roman" w:hAnsi="Times New Roman" w:cs="Times New Roman"/>
                <w:color w:val="000000"/>
                <w:sz w:val="20"/>
                <w:szCs w:val="20"/>
              </w:rPr>
              <w:t> </w:t>
            </w:r>
            <w:r w:rsidRPr="00087A39">
              <w:rPr>
                <w:rFonts w:ascii="Times New Roman" w:eastAsia="Times New Roman" w:hAnsi="Times New Roman" w:cs="Times New Roman"/>
                <w:b/>
                <w:bCs/>
                <w:color w:val="000000"/>
                <w:sz w:val="20"/>
                <w:szCs w:val="20"/>
              </w:rPr>
              <w:t>нематериальных активов в процессе разработки</w:t>
            </w:r>
            <w:r w:rsidRPr="00087A39">
              <w:rPr>
                <w:rFonts w:ascii="Times New Roman" w:eastAsia="Times New Roman" w:hAnsi="Times New Roman" w:cs="Times New Roman"/>
                <w:color w:val="000000"/>
                <w:sz w:val="20"/>
                <w:szCs w:val="20"/>
              </w:rPr>
              <w:t>, а также нематериальных активов с неопределенным сроком амортизации проводится, как минимум, в конце каждого отчетного года независимо от наличия признаков возможного обесценения.</w:t>
            </w:r>
          </w:p>
        </w:tc>
        <w:tc>
          <w:tcPr>
            <w:tcW w:w="3402"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Определения незавершенных объектов НМА ( как и незавершенных разработок) не дано. Предлагаем указать что незавершенные НМА включаются в состав НМА ( п.4) и использовать единый термин – например «нематериальные активы в процессе разработки» ( из МСФО 38). К обсуждению – добавить определение в п.7.</w:t>
            </w:r>
          </w:p>
        </w:tc>
        <w:tc>
          <w:tcPr>
            <w:tcW w:w="3119" w:type="dxa"/>
            <w:tcBorders>
              <w:top w:val="outset" w:sz="6" w:space="0" w:color="auto"/>
              <w:left w:val="outset" w:sz="6" w:space="0" w:color="auto"/>
              <w:bottom w:val="outset" w:sz="6" w:space="0" w:color="auto"/>
              <w:right w:val="outset" w:sz="6" w:space="0" w:color="auto"/>
            </w:tcBorders>
            <w:hideMark/>
          </w:tcPr>
          <w:p w:rsidR="00033C5A" w:rsidRDefault="00E71913" w:rsidP="004E18D4">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A86437">
              <w:rPr>
                <w:rFonts w:ascii="Times New Roman" w:eastAsia="Times New Roman" w:hAnsi="Times New Roman" w:cs="Times New Roman"/>
                <w:color w:val="000000"/>
                <w:sz w:val="20"/>
                <w:szCs w:val="20"/>
              </w:rPr>
              <w:t>ринять замечание</w:t>
            </w:r>
            <w:r w:rsidR="00E663CA">
              <w:rPr>
                <w:rFonts w:ascii="Times New Roman" w:eastAsia="Times New Roman" w:hAnsi="Times New Roman" w:cs="Times New Roman"/>
                <w:color w:val="000000"/>
                <w:sz w:val="20"/>
                <w:szCs w:val="20"/>
              </w:rPr>
              <w:t>.</w:t>
            </w:r>
          </w:p>
          <w:p w:rsidR="00A81420" w:rsidRDefault="00A81420" w:rsidP="00A81420">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Предложить формулировку, раскрывающую смысл того, что все незавершенные нематериальные активы, вне зависимости от способа их создания подлежат обязательному тестированию на обесценение.</w:t>
            </w:r>
          </w:p>
          <w:p w:rsidR="00A81420" w:rsidRPr="009D2B1D" w:rsidRDefault="00A81420" w:rsidP="00A81420">
            <w:pPr>
              <w:spacing w:before="100" w:beforeAutospacing="1" w:after="100" w:afterAutospacing="1"/>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Согласно</w:t>
            </w:r>
            <w:r w:rsidRPr="00A81420">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пп</w:t>
            </w:r>
            <w:r w:rsidRPr="00A81420">
              <w:rPr>
                <w:rFonts w:ascii="Times New Roman" w:eastAsia="Times New Roman" w:hAnsi="Times New Roman" w:cs="Times New Roman"/>
                <w:color w:val="000000"/>
                <w:sz w:val="20"/>
                <w:szCs w:val="20"/>
                <w:lang w:val="en-US"/>
              </w:rPr>
              <w:t>. (</w:t>
            </w:r>
            <w:r>
              <w:rPr>
                <w:rFonts w:ascii="Times New Roman" w:eastAsia="Times New Roman" w:hAnsi="Times New Roman" w:cs="Times New Roman"/>
                <w:color w:val="000000"/>
                <w:sz w:val="20"/>
                <w:szCs w:val="20"/>
              </w:rPr>
              <w:t>а</w:t>
            </w:r>
            <w:r w:rsidRPr="00A81420">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w:t>
            </w:r>
            <w:r w:rsidRPr="00A81420">
              <w:rPr>
                <w:rFonts w:ascii="Times New Roman" w:eastAsia="Times New Roman" w:hAnsi="Times New Roman" w:cs="Times New Roman"/>
                <w:color w:val="000000"/>
                <w:sz w:val="20"/>
                <w:szCs w:val="20"/>
                <w:lang w:val="en-US"/>
              </w:rPr>
              <w:t xml:space="preserve">. 10 </w:t>
            </w:r>
            <w:r>
              <w:rPr>
                <w:rFonts w:ascii="Times New Roman" w:eastAsia="Times New Roman" w:hAnsi="Times New Roman" w:cs="Times New Roman"/>
                <w:color w:val="000000"/>
                <w:sz w:val="20"/>
                <w:szCs w:val="20"/>
              </w:rPr>
              <w:t>МСФО</w:t>
            </w:r>
            <w:r w:rsidRPr="00A81420">
              <w:rPr>
                <w:rFonts w:ascii="Times New Roman" w:eastAsia="Times New Roman" w:hAnsi="Times New Roman" w:cs="Times New Roman"/>
                <w:color w:val="000000"/>
                <w:sz w:val="20"/>
                <w:szCs w:val="20"/>
                <w:lang w:val="en-US"/>
              </w:rPr>
              <w:t xml:space="preserve"> 36:</w:t>
            </w:r>
            <w:r w:rsidRPr="00A81420">
              <w:rPr>
                <w:rFonts w:ascii="Times New Roman" w:eastAsia="Times New Roman" w:hAnsi="Times New Roman" w:cs="Times New Roman"/>
                <w:color w:val="000000"/>
                <w:sz w:val="20"/>
                <w:szCs w:val="20"/>
                <w:lang w:val="en-US"/>
              </w:rPr>
              <w:t xml:space="preserve"> </w:t>
            </w:r>
            <w:r w:rsidRPr="009D2B1D">
              <w:rPr>
                <w:rFonts w:ascii="Times New Roman" w:eastAsia="Times New Roman" w:hAnsi="Times New Roman" w:cs="Times New Roman"/>
                <w:color w:val="000000"/>
                <w:sz w:val="20"/>
                <w:szCs w:val="20"/>
                <w:lang w:val="en-US"/>
              </w:rPr>
              <w:t>«</w:t>
            </w:r>
            <w:r w:rsidRPr="00A86437">
              <w:rPr>
                <w:rFonts w:ascii="Times New Roman" w:eastAsia="Times New Roman" w:hAnsi="Times New Roman" w:cs="Times New Roman"/>
                <w:b/>
                <w:color w:val="000000"/>
                <w:sz w:val="20"/>
                <w:szCs w:val="20"/>
                <w:lang w:val="en-US"/>
              </w:rPr>
              <w:t>Irrespective</w:t>
            </w:r>
            <w:r w:rsidRPr="009D2B1D">
              <w:rPr>
                <w:rFonts w:ascii="Times New Roman" w:eastAsia="Times New Roman" w:hAnsi="Times New Roman" w:cs="Times New Roman"/>
                <w:color w:val="000000"/>
                <w:sz w:val="20"/>
                <w:szCs w:val="20"/>
                <w:lang w:val="en-US"/>
              </w:rPr>
              <w:t xml:space="preserve"> </w:t>
            </w:r>
            <w:r w:rsidRPr="00A86437">
              <w:rPr>
                <w:rFonts w:ascii="Times New Roman" w:eastAsia="Times New Roman" w:hAnsi="Times New Roman" w:cs="Times New Roman"/>
                <w:b/>
                <w:color w:val="000000"/>
                <w:sz w:val="20"/>
                <w:szCs w:val="20"/>
                <w:lang w:val="en-US"/>
              </w:rPr>
              <w:t>of</w:t>
            </w:r>
            <w:r w:rsidRPr="009D2B1D">
              <w:rPr>
                <w:rFonts w:ascii="Times New Roman" w:eastAsia="Times New Roman" w:hAnsi="Times New Roman" w:cs="Times New Roman"/>
                <w:color w:val="000000"/>
                <w:sz w:val="20"/>
                <w:szCs w:val="20"/>
                <w:lang w:val="en-US"/>
              </w:rPr>
              <w:t xml:space="preserve"> whether there is any </w:t>
            </w:r>
            <w:r w:rsidRPr="00A86437">
              <w:rPr>
                <w:rFonts w:ascii="Times New Roman" w:eastAsia="Times New Roman" w:hAnsi="Times New Roman" w:cs="Times New Roman"/>
                <w:b/>
                <w:color w:val="000000"/>
                <w:sz w:val="20"/>
                <w:szCs w:val="20"/>
                <w:lang w:val="en-US"/>
              </w:rPr>
              <w:t>indication of impairment</w:t>
            </w:r>
            <w:r w:rsidRPr="009D2B1D">
              <w:rPr>
                <w:rFonts w:ascii="Times New Roman" w:eastAsia="Times New Roman" w:hAnsi="Times New Roman" w:cs="Times New Roman"/>
                <w:color w:val="000000"/>
                <w:sz w:val="20"/>
                <w:szCs w:val="20"/>
                <w:lang w:val="en-US"/>
              </w:rPr>
              <w:t>, an entity shall also:</w:t>
            </w:r>
          </w:p>
          <w:p w:rsidR="00A81420" w:rsidRPr="00A81420" w:rsidRDefault="00A81420" w:rsidP="00A81420">
            <w:pPr>
              <w:jc w:val="both"/>
              <w:rPr>
                <w:rFonts w:ascii="Times New Roman" w:eastAsia="Times New Roman" w:hAnsi="Times New Roman" w:cs="Times New Roman"/>
                <w:color w:val="000000"/>
                <w:sz w:val="20"/>
                <w:szCs w:val="20"/>
                <w:lang w:val="en-US"/>
              </w:rPr>
            </w:pPr>
            <w:r w:rsidRPr="009D2B1D">
              <w:rPr>
                <w:rFonts w:ascii="Times New Roman" w:eastAsia="Times New Roman" w:hAnsi="Times New Roman" w:cs="Times New Roman"/>
                <w:color w:val="000000"/>
                <w:sz w:val="20"/>
                <w:szCs w:val="20"/>
                <w:lang w:val="en-US"/>
              </w:rPr>
              <w:t xml:space="preserve"> (a) test an intangible asset with an indefinite useful life or an intangible asset </w:t>
            </w:r>
            <w:r w:rsidRPr="00A86437">
              <w:rPr>
                <w:rFonts w:ascii="Times New Roman" w:eastAsia="Times New Roman" w:hAnsi="Times New Roman" w:cs="Times New Roman"/>
                <w:b/>
                <w:color w:val="000000"/>
                <w:sz w:val="20"/>
                <w:szCs w:val="20"/>
                <w:lang w:val="en-US"/>
              </w:rPr>
              <w:t>not yet available for use</w:t>
            </w:r>
            <w:r w:rsidRPr="009D2B1D">
              <w:rPr>
                <w:rFonts w:ascii="Times New Roman" w:eastAsia="Times New Roman" w:hAnsi="Times New Roman" w:cs="Times New Roman"/>
                <w:color w:val="000000"/>
                <w:sz w:val="20"/>
                <w:szCs w:val="20"/>
                <w:lang w:val="en-US"/>
              </w:rPr>
              <w:t xml:space="preserve"> for impairment annually by comparing its carrying amount with its recoverable amount. This impairment test may be performed at any time during an annual period, provided it is performed at the same time every year...»</w:t>
            </w:r>
          </w:p>
          <w:p w:rsidR="004E18D4" w:rsidRPr="004E18D4" w:rsidRDefault="00A86437" w:rsidP="004E18D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Согласно</w:t>
            </w:r>
            <w:r w:rsidR="004E18D4" w:rsidRPr="00A86437">
              <w:rPr>
                <w:rFonts w:ascii="Times New Roman" w:eastAsia="Times New Roman" w:hAnsi="Times New Roman" w:cs="Times New Roman"/>
                <w:color w:val="000000"/>
                <w:sz w:val="20"/>
                <w:szCs w:val="20"/>
              </w:rPr>
              <w:t xml:space="preserve"> </w:t>
            </w:r>
            <w:r w:rsidR="004E18D4">
              <w:rPr>
                <w:rFonts w:ascii="Times New Roman" w:eastAsia="Times New Roman" w:hAnsi="Times New Roman" w:cs="Times New Roman"/>
                <w:color w:val="000000"/>
                <w:sz w:val="20"/>
                <w:szCs w:val="20"/>
              </w:rPr>
              <w:t>пп</w:t>
            </w:r>
            <w:r w:rsidR="004E18D4" w:rsidRPr="00A86437">
              <w:rPr>
                <w:rFonts w:ascii="Times New Roman" w:eastAsia="Times New Roman" w:hAnsi="Times New Roman" w:cs="Times New Roman"/>
                <w:color w:val="000000"/>
                <w:sz w:val="20"/>
                <w:szCs w:val="20"/>
              </w:rPr>
              <w:t>. (</w:t>
            </w:r>
            <w:r w:rsidR="004E18D4">
              <w:rPr>
                <w:rFonts w:ascii="Times New Roman" w:eastAsia="Times New Roman" w:hAnsi="Times New Roman" w:cs="Times New Roman"/>
                <w:color w:val="000000"/>
                <w:sz w:val="20"/>
                <w:szCs w:val="20"/>
                <w:lang w:val="en-US"/>
              </w:rPr>
              <w:t>g</w:t>
            </w:r>
            <w:r w:rsidR="004E18D4" w:rsidRPr="00A86437">
              <w:rPr>
                <w:rFonts w:ascii="Times New Roman" w:eastAsia="Times New Roman" w:hAnsi="Times New Roman" w:cs="Times New Roman"/>
                <w:color w:val="000000"/>
                <w:sz w:val="20"/>
                <w:szCs w:val="20"/>
              </w:rPr>
              <w:t xml:space="preserve">) </w:t>
            </w:r>
            <w:r w:rsidR="004E18D4">
              <w:rPr>
                <w:rFonts w:ascii="Times New Roman" w:eastAsia="Times New Roman" w:hAnsi="Times New Roman" w:cs="Times New Roman"/>
                <w:color w:val="000000"/>
                <w:sz w:val="20"/>
                <w:szCs w:val="20"/>
              </w:rPr>
              <w:t>п</w:t>
            </w:r>
            <w:r w:rsidR="004E18D4" w:rsidRPr="00A86437">
              <w:rPr>
                <w:rFonts w:ascii="Times New Roman" w:eastAsia="Times New Roman" w:hAnsi="Times New Roman" w:cs="Times New Roman"/>
                <w:color w:val="000000"/>
                <w:sz w:val="20"/>
                <w:szCs w:val="20"/>
              </w:rPr>
              <w:t xml:space="preserve">. 119 </w:t>
            </w:r>
            <w:r w:rsidR="004E18D4">
              <w:rPr>
                <w:rFonts w:ascii="Times New Roman" w:eastAsia="Times New Roman" w:hAnsi="Times New Roman" w:cs="Times New Roman"/>
                <w:color w:val="000000"/>
                <w:sz w:val="20"/>
                <w:szCs w:val="20"/>
              </w:rPr>
              <w:t>МСФО</w:t>
            </w:r>
            <w:r w:rsidR="004E18D4" w:rsidRPr="00A86437">
              <w:rPr>
                <w:rFonts w:ascii="Times New Roman" w:eastAsia="Times New Roman" w:hAnsi="Times New Roman" w:cs="Times New Roman"/>
                <w:color w:val="000000"/>
                <w:sz w:val="20"/>
                <w:szCs w:val="20"/>
              </w:rPr>
              <w:t xml:space="preserve"> 38:</w:t>
            </w:r>
          </w:p>
          <w:p w:rsidR="004E18D4" w:rsidRPr="004E18D4" w:rsidRDefault="004E18D4" w:rsidP="004E18D4">
            <w:pPr>
              <w:jc w:val="both"/>
              <w:rPr>
                <w:rFonts w:ascii="Times New Roman" w:eastAsia="Times New Roman" w:hAnsi="Times New Roman" w:cs="Times New Roman"/>
                <w:color w:val="000000"/>
                <w:sz w:val="20"/>
                <w:szCs w:val="20"/>
                <w:lang w:val="en-US"/>
              </w:rPr>
            </w:pPr>
            <w:r w:rsidRPr="004E18D4">
              <w:rPr>
                <w:rFonts w:ascii="Times New Roman" w:eastAsia="Times New Roman" w:hAnsi="Times New Roman" w:cs="Times New Roman"/>
                <w:color w:val="000000"/>
                <w:sz w:val="20"/>
                <w:szCs w:val="20"/>
                <w:lang w:val="en-US"/>
              </w:rPr>
              <w:t>«A class of intangible assets is a grouping of assets of a similar nature and use in an entity’s operations. Examples of separate classes may include:</w:t>
            </w:r>
          </w:p>
          <w:p w:rsidR="004E18D4" w:rsidRPr="009D2B1D" w:rsidRDefault="004E18D4" w:rsidP="009D2B1D">
            <w:pPr>
              <w:jc w:val="both"/>
              <w:rPr>
                <w:rFonts w:ascii="Times New Roman" w:eastAsia="Times New Roman" w:hAnsi="Times New Roman" w:cs="Times New Roman"/>
                <w:b/>
                <w:color w:val="000000"/>
                <w:sz w:val="20"/>
                <w:szCs w:val="20"/>
                <w:lang w:val="en-US"/>
              </w:rPr>
            </w:pPr>
            <w:r w:rsidRPr="004E18D4">
              <w:rPr>
                <w:rFonts w:ascii="Times New Roman" w:eastAsia="Times New Roman" w:hAnsi="Times New Roman" w:cs="Times New Roman"/>
                <w:b/>
                <w:color w:val="000000"/>
                <w:sz w:val="20"/>
                <w:szCs w:val="20"/>
                <w:lang w:val="en-US"/>
              </w:rPr>
              <w:t>(g) inta</w:t>
            </w:r>
            <w:r>
              <w:rPr>
                <w:rFonts w:ascii="Times New Roman" w:eastAsia="Times New Roman" w:hAnsi="Times New Roman" w:cs="Times New Roman"/>
                <w:b/>
                <w:color w:val="000000"/>
                <w:sz w:val="20"/>
                <w:szCs w:val="20"/>
                <w:lang w:val="en-US"/>
              </w:rPr>
              <w:t>ngible assets under development</w:t>
            </w:r>
            <w:r w:rsidRPr="004E18D4">
              <w:rPr>
                <w:rFonts w:ascii="Times New Roman" w:eastAsia="Times New Roman" w:hAnsi="Times New Roman" w:cs="Times New Roman"/>
                <w:color w:val="000000"/>
                <w:sz w:val="20"/>
                <w:szCs w:val="20"/>
                <w:lang w:val="en-US"/>
              </w:rPr>
              <w:t>».</w:t>
            </w:r>
            <w:r w:rsidR="009D2B1D" w:rsidRPr="009D2B1D">
              <w:rPr>
                <w:rFonts w:ascii="Times New Roman" w:eastAsia="Times New Roman" w:hAnsi="Times New Roman" w:cs="Times New Roman"/>
                <w:color w:val="000000"/>
                <w:sz w:val="20"/>
                <w:szCs w:val="20"/>
                <w:lang w:val="en-US"/>
              </w:rPr>
              <w:t xml:space="preserve"> </w:t>
            </w:r>
          </w:p>
          <w:p w:rsidR="00087A39" w:rsidRPr="005E5C81" w:rsidRDefault="009D2B1D" w:rsidP="00A81420">
            <w:pPr>
              <w:jc w:val="both"/>
              <w:rPr>
                <w:rFonts w:ascii="Times New Roman" w:eastAsia="Times New Roman" w:hAnsi="Times New Roman" w:cs="Times New Roman"/>
                <w:color w:val="000000"/>
                <w:sz w:val="20"/>
                <w:szCs w:val="20"/>
                <w:lang w:val="en-US"/>
              </w:rPr>
            </w:pPr>
            <w:r w:rsidRPr="009D2B1D">
              <w:rPr>
                <w:rFonts w:ascii="Times New Roman" w:eastAsia="Times New Roman" w:hAnsi="Times New Roman" w:cs="Times New Roman"/>
                <w:color w:val="000000"/>
                <w:sz w:val="20"/>
                <w:szCs w:val="20"/>
              </w:rPr>
              <w:t>Таким образом, в МСФО 38 используется термин «НМА в процессе разработки»</w:t>
            </w:r>
            <w:r>
              <w:rPr>
                <w:rFonts w:ascii="Times New Roman" w:eastAsia="Times New Roman" w:hAnsi="Times New Roman" w:cs="Times New Roman"/>
                <w:color w:val="000000"/>
                <w:sz w:val="20"/>
                <w:szCs w:val="20"/>
              </w:rPr>
              <w:t>.</w:t>
            </w:r>
            <w:bookmarkStart w:id="1" w:name="_GoBack"/>
            <w:bookmarkEnd w:id="1"/>
          </w:p>
        </w:tc>
      </w:tr>
      <w:tr w:rsidR="00087A39"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087A39" w:rsidRPr="009D2B1D" w:rsidRDefault="00087A39" w:rsidP="00087A39">
            <w:pPr>
              <w:rPr>
                <w:rFonts w:ascii="Times New Roman" w:eastAsia="Times New Roman" w:hAnsi="Times New Roman" w:cs="Times New Roman"/>
                <w:color w:val="000000"/>
                <w:sz w:val="20"/>
                <w:szCs w:val="20"/>
                <w:lang w:val="en-US"/>
              </w:rPr>
            </w:pPr>
          </w:p>
        </w:tc>
        <w:tc>
          <w:tcPr>
            <w:tcW w:w="1280"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56</w:t>
            </w:r>
          </w:p>
        </w:tc>
        <w:tc>
          <w:tcPr>
            <w:tcW w:w="3261"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xml:space="preserve">В случае изменения модели получения экономических выгод от нематериального актива так, что он больше не характеризуется совокупностью признаков, указанных в пункте 3 настоящего Стандарта, организация переклассифицирует нематериальный актив в другой соответствующий актив. В частности, в случае принятия решения о продаже нематериального актива он переклассифицируется в долгосрочные активы к продаже в момент прекращения его использования в связи с подготовкой к продаже. В случае если организация решает использовать материальный носитель информации, стоимость которого была учтена ранее в себестоимости нематериального актива, самостоятельно в качестве материального актива, организация переклассифицирует в другой актив соответствующую часть стоимости нематериального актива. При этом подлежащая переклассификации стоимость может определяться по фактическим и/или расчетным путем </w:t>
            </w:r>
            <w:r w:rsidRPr="00087A39">
              <w:rPr>
                <w:rFonts w:ascii="Times New Roman" w:eastAsia="Times New Roman" w:hAnsi="Times New Roman" w:cs="Times New Roman"/>
                <w:color w:val="000000"/>
                <w:sz w:val="20"/>
                <w:szCs w:val="20"/>
              </w:rPr>
              <w:lastRenderedPageBreak/>
              <w:t>исходя из предполагаемой суммы затрат на его создание. Например, если организация решает ввести опытный промышленный образец в эксплуатацию в качестве обычного оборудования, она уменьшает стоимость соответствующего нематериального актива на сумму затрат, которые требуются для создания такого же объекта оборудования на основе имеющегося опытного образца, переклассифицируя эту сумму в основные средства.</w:t>
            </w:r>
          </w:p>
        </w:tc>
        <w:tc>
          <w:tcPr>
            <w:tcW w:w="396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lastRenderedPageBreak/>
              <w:t>Формулировки предложим, если будет принято решение по расширению раздела.</w:t>
            </w:r>
          </w:p>
        </w:tc>
        <w:tc>
          <w:tcPr>
            <w:tcW w:w="3402"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Для обсуждения: на практике встречаются следующие ситуации с ре-классификацией НМА: 1)     если он перестает быть НМА в связи с продажей (уже указано) – на практике – не очень частый случай 2)     при завершении НИОКР – может быть ре-классификация между группами НМА (не указано), а также в состав ОС (указано), в состав материалов (не указано прямо, но дана возможность ре-классификации в принципе – первая фраза в п.58)</w:t>
            </w:r>
          </w:p>
        </w:tc>
        <w:tc>
          <w:tcPr>
            <w:tcW w:w="3119" w:type="dxa"/>
            <w:tcBorders>
              <w:top w:val="outset" w:sz="6" w:space="0" w:color="auto"/>
              <w:left w:val="outset" w:sz="6" w:space="0" w:color="auto"/>
              <w:bottom w:val="outset" w:sz="6" w:space="0" w:color="auto"/>
              <w:right w:val="outset" w:sz="6" w:space="0" w:color="auto"/>
            </w:tcBorders>
            <w:hideMark/>
          </w:tcPr>
          <w:p w:rsidR="00033C5A" w:rsidRDefault="00E71913" w:rsidP="005E5C81">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6437BF">
              <w:rPr>
                <w:rFonts w:ascii="Times New Roman" w:eastAsia="Times New Roman" w:hAnsi="Times New Roman" w:cs="Times New Roman"/>
                <w:color w:val="000000"/>
                <w:sz w:val="20"/>
                <w:szCs w:val="20"/>
              </w:rPr>
              <w:t>ринять замечание. Д</w:t>
            </w:r>
            <w:r w:rsidR="005E5C81">
              <w:rPr>
                <w:rFonts w:ascii="Times New Roman" w:eastAsia="Times New Roman" w:hAnsi="Times New Roman" w:cs="Times New Roman"/>
                <w:color w:val="000000"/>
                <w:sz w:val="20"/>
                <w:szCs w:val="20"/>
              </w:rPr>
              <w:t>обавить пункт в раздел</w:t>
            </w:r>
            <w:r w:rsidR="006437BF">
              <w:rPr>
                <w:rFonts w:ascii="Times New Roman" w:eastAsia="Times New Roman" w:hAnsi="Times New Roman" w:cs="Times New Roman"/>
                <w:color w:val="000000"/>
                <w:sz w:val="20"/>
                <w:szCs w:val="20"/>
              </w:rPr>
              <w:t xml:space="preserve"> </w:t>
            </w:r>
            <w:r w:rsidR="006437BF">
              <w:rPr>
                <w:rFonts w:ascii="Times New Roman" w:eastAsia="Times New Roman" w:hAnsi="Times New Roman" w:cs="Times New Roman"/>
                <w:color w:val="000000"/>
                <w:sz w:val="20"/>
                <w:szCs w:val="20"/>
                <w:lang w:val="en-US"/>
              </w:rPr>
              <w:t>III</w:t>
            </w:r>
            <w:r w:rsidR="006437BF" w:rsidRPr="005E5C81">
              <w:rPr>
                <w:rFonts w:ascii="Times New Roman" w:eastAsia="Times New Roman" w:hAnsi="Times New Roman" w:cs="Times New Roman"/>
                <w:color w:val="000000"/>
                <w:sz w:val="20"/>
                <w:szCs w:val="20"/>
              </w:rPr>
              <w:t xml:space="preserve"> </w:t>
            </w:r>
            <w:r w:rsidR="006437BF">
              <w:rPr>
                <w:rFonts w:ascii="Times New Roman" w:eastAsia="Times New Roman" w:hAnsi="Times New Roman" w:cs="Times New Roman"/>
                <w:color w:val="000000"/>
                <w:sz w:val="20"/>
                <w:szCs w:val="20"/>
              </w:rPr>
              <w:t>между п. 21 и п. 22</w:t>
            </w:r>
            <w:r w:rsidR="005E5C81">
              <w:rPr>
                <w:rFonts w:ascii="Times New Roman" w:eastAsia="Times New Roman" w:hAnsi="Times New Roman" w:cs="Times New Roman"/>
                <w:color w:val="000000"/>
                <w:sz w:val="20"/>
                <w:szCs w:val="20"/>
              </w:rPr>
              <w:t xml:space="preserve">. Предложить </w:t>
            </w:r>
            <w:r w:rsidR="00131D5E">
              <w:rPr>
                <w:rFonts w:ascii="Times New Roman" w:eastAsia="Times New Roman" w:hAnsi="Times New Roman" w:cs="Times New Roman"/>
                <w:color w:val="000000"/>
                <w:sz w:val="20"/>
                <w:szCs w:val="20"/>
              </w:rPr>
              <w:t>формулировку</w:t>
            </w:r>
            <w:r w:rsidR="005E5C81">
              <w:rPr>
                <w:rFonts w:ascii="Times New Roman" w:eastAsia="Times New Roman" w:hAnsi="Times New Roman" w:cs="Times New Roman"/>
                <w:color w:val="000000"/>
                <w:sz w:val="20"/>
                <w:szCs w:val="20"/>
              </w:rPr>
              <w:t xml:space="preserve">. </w:t>
            </w:r>
            <w:r w:rsidR="001853DD">
              <w:rPr>
                <w:rFonts w:ascii="Times New Roman" w:eastAsia="Times New Roman" w:hAnsi="Times New Roman" w:cs="Times New Roman"/>
                <w:color w:val="000000"/>
                <w:sz w:val="20"/>
                <w:szCs w:val="20"/>
              </w:rPr>
              <w:t>Отв. ПАО «НК «Роснефть», ПАО АНК «Башнефть».</w:t>
            </w:r>
          </w:p>
          <w:p w:rsidR="00087A39" w:rsidRPr="00087A39" w:rsidRDefault="00087A39" w:rsidP="005E5C81">
            <w:pPr>
              <w:spacing w:before="100" w:beforeAutospacing="1" w:after="100" w:afterAutospacing="1"/>
              <w:rPr>
                <w:rFonts w:ascii="Times New Roman" w:eastAsia="Times New Roman" w:hAnsi="Times New Roman" w:cs="Times New Roman"/>
                <w:color w:val="000000"/>
                <w:sz w:val="20"/>
                <w:szCs w:val="20"/>
              </w:rPr>
            </w:pPr>
          </w:p>
        </w:tc>
      </w:tr>
      <w:tr w:rsidR="00087A39"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7</w:t>
            </w:r>
          </w:p>
        </w:tc>
        <w:tc>
          <w:tcPr>
            <w:tcW w:w="1280"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402"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Предлагаем обсудить: нужно ли добавлять информацию о типовой ре-классификации по достижению момента готовности? Так как мы объединяем два ПБУ и добавляем указание про исключительные и не исключительные права в составе НМА, то, возможно, предоставление примера поможет лучше понять учет таких операций типовых операций.</w:t>
            </w:r>
          </w:p>
        </w:tc>
        <w:tc>
          <w:tcPr>
            <w:tcW w:w="311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r>
      <w:tr w:rsidR="00087A39"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8</w:t>
            </w:r>
          </w:p>
        </w:tc>
        <w:tc>
          <w:tcPr>
            <w:tcW w:w="1280"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402"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Нужно ли расширять примеры по ре-классификации на другие случаи (те же материалы) или достаточно первой фразы для всех случаев?</w:t>
            </w:r>
          </w:p>
        </w:tc>
        <w:tc>
          <w:tcPr>
            <w:tcW w:w="3119" w:type="dxa"/>
            <w:tcBorders>
              <w:top w:val="outset" w:sz="6" w:space="0" w:color="auto"/>
              <w:left w:val="outset" w:sz="6" w:space="0" w:color="auto"/>
              <w:bottom w:val="outset" w:sz="6" w:space="0" w:color="auto"/>
              <w:right w:val="outset" w:sz="6" w:space="0" w:color="auto"/>
            </w:tcBorders>
            <w:hideMark/>
          </w:tcPr>
          <w:p w:rsidR="00087A39" w:rsidRPr="00087A39" w:rsidRDefault="00087A39"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Раздел VIII</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Дополнить раздел по раскрытиям следующими пунктами из МСФО 38, не включенными в состав текущего Стандарта:</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ФСБУ «НМА» берет за основу соответствующий МСФО, поэтому если мы исключаем какие-либо из требуемых раскрытий, то для этого должны быть основания. Предлагаем обсудить все не включенные пункты и принять решение о их добавлении и(или) не добавлении в Стандарт.</w:t>
            </w:r>
          </w:p>
        </w:tc>
        <w:tc>
          <w:tcPr>
            <w:tcW w:w="3119" w:type="dxa"/>
            <w:vMerge w:val="restart"/>
            <w:tcBorders>
              <w:top w:val="outset" w:sz="6" w:space="0" w:color="auto"/>
              <w:left w:val="outset" w:sz="6" w:space="0" w:color="auto"/>
              <w:right w:val="outset" w:sz="6" w:space="0" w:color="auto"/>
            </w:tcBorders>
            <w:hideMark/>
          </w:tcPr>
          <w:p w:rsidR="00A90C98" w:rsidRPr="00087A39" w:rsidRDefault="00E71913" w:rsidP="00087A39">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A90C98">
              <w:rPr>
                <w:rFonts w:ascii="Times New Roman" w:eastAsia="Times New Roman" w:hAnsi="Times New Roman" w:cs="Times New Roman"/>
                <w:color w:val="000000"/>
                <w:sz w:val="20"/>
                <w:szCs w:val="20"/>
              </w:rPr>
              <w:t xml:space="preserve">точнить предложения по разделу </w:t>
            </w:r>
            <w:r w:rsidR="00A90C98">
              <w:rPr>
                <w:rFonts w:ascii="Times New Roman" w:eastAsia="Times New Roman" w:hAnsi="Times New Roman" w:cs="Times New Roman"/>
                <w:color w:val="000000"/>
                <w:sz w:val="20"/>
                <w:szCs w:val="20"/>
                <w:lang w:val="en-US"/>
              </w:rPr>
              <w:t>VIII</w:t>
            </w:r>
            <w:r w:rsidR="00A90C98">
              <w:rPr>
                <w:rFonts w:ascii="Times New Roman" w:eastAsia="Times New Roman" w:hAnsi="Times New Roman" w:cs="Times New Roman"/>
                <w:color w:val="000000"/>
                <w:sz w:val="20"/>
                <w:szCs w:val="20"/>
              </w:rPr>
              <w:t>. Отв. ПАО «НК «Роснефть», ПАО АНК «Башнефть».</w:t>
            </w:r>
          </w:p>
          <w:p w:rsidR="00A90C98" w:rsidRPr="00087A39" w:rsidRDefault="00A90C98" w:rsidP="001853DD">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9</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Предприятие должно раскрыть агрегированную сумму затрат на исследования и разработки, признанных в качестве расходов в течение периода. (п. 126)</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10</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Применительно к нематериальному активу, классифицированному как нематериальный актив с неопределенным сроком полезного использования — балансовую стоимость этого актива и основания для его оценки как нематериального актива с неопределенным сроком полезного использования. Раскрывая такие основания, предприятие должно описать фактор или факторы, которые в значительной мере повлияли на решение о том, что этот актив имеет неопределенный срок полезного использования. (МСФО 38 - п. 122 a))</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rPr>
                <w:rFonts w:ascii="Times New Roman" w:eastAsia="Times New Roman" w:hAnsi="Times New Roman" w:cs="Times New Roman"/>
                <w:color w:val="000000"/>
                <w:sz w:val="20"/>
                <w:szCs w:val="20"/>
              </w:rPr>
            </w:pP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Если нематериальные активы учитываются по переоцененной стоимости, предприятие должно раскрыть следующую информацию:</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11</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методы и значительные допущения, использованные при расчетной оценке справедливой стоимости активов. (МСФО 38 - п. 124 с))</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Есть требования об опциональном раскрытии следующей информации:</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65347C">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Приветствуется, но не требуется раскрытие предприятием следующей информации:</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65347C">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12</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(a) описания любых полностью самортизированных нематериальных активов, которые все еще находятся в эксплуатации;</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Пункт был ранее включен в Стандарт но позднее был исключен.</w:t>
            </w:r>
          </w:p>
        </w:tc>
        <w:tc>
          <w:tcPr>
            <w:tcW w:w="3119" w:type="dxa"/>
            <w:vMerge/>
            <w:tcBorders>
              <w:left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r w:rsidR="00A90C98" w:rsidRPr="00087A39" w:rsidTr="004E18D4">
        <w:trPr>
          <w:tblCellSpacing w:w="0" w:type="dxa"/>
        </w:trPr>
        <w:tc>
          <w:tcPr>
            <w:tcW w:w="436"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jc w:val="center"/>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13</w:t>
            </w:r>
          </w:p>
        </w:tc>
        <w:tc>
          <w:tcPr>
            <w:tcW w:w="1280"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b/>
                <w:bCs/>
                <w:color w:val="000000"/>
                <w:sz w:val="20"/>
                <w:szCs w:val="20"/>
              </w:rPr>
              <w:t> </w:t>
            </w:r>
          </w:p>
        </w:tc>
        <w:tc>
          <w:tcPr>
            <w:tcW w:w="3261"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969"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(b) краткого описания значительных нематериальных активов, контролируемых предприятием, но не признанных в качестве активов, поскольку они не удовлетворяют критериям признания, установленным настоящим стандартом, или поскольку они были приобретены или созданы до вступления в силу МСФО (IAS) 38</w:t>
            </w:r>
            <w:r w:rsidRPr="00F95D0C">
              <w:rPr>
                <w:rFonts w:ascii="Times New Roman" w:eastAsia="Times New Roman" w:hAnsi="Times New Roman" w:cs="Times New Roman"/>
                <w:color w:val="000000"/>
                <w:sz w:val="20"/>
                <w:szCs w:val="20"/>
              </w:rPr>
              <w:t> </w:t>
            </w:r>
            <w:r w:rsidRPr="00087A39">
              <w:rPr>
                <w:rFonts w:ascii="Times New Roman" w:eastAsia="Times New Roman" w:hAnsi="Times New Roman" w:cs="Times New Roman"/>
                <w:i/>
                <w:iCs/>
                <w:color w:val="000000"/>
                <w:sz w:val="20"/>
                <w:szCs w:val="20"/>
              </w:rPr>
              <w:t>«Нематериальные активы»</w:t>
            </w:r>
            <w:r w:rsidRPr="00F95D0C">
              <w:rPr>
                <w:rFonts w:ascii="Times New Roman" w:eastAsia="Times New Roman" w:hAnsi="Times New Roman" w:cs="Times New Roman"/>
                <w:color w:val="000000"/>
                <w:sz w:val="20"/>
                <w:szCs w:val="20"/>
              </w:rPr>
              <w:t> </w:t>
            </w:r>
            <w:r w:rsidRPr="00087A39">
              <w:rPr>
                <w:rFonts w:ascii="Times New Roman" w:eastAsia="Times New Roman" w:hAnsi="Times New Roman" w:cs="Times New Roman"/>
                <w:color w:val="000000"/>
                <w:sz w:val="20"/>
                <w:szCs w:val="20"/>
              </w:rPr>
              <w:t>в редакции 1998 г.  (п. 125)</w:t>
            </w:r>
          </w:p>
        </w:tc>
        <w:tc>
          <w:tcPr>
            <w:tcW w:w="3402" w:type="dxa"/>
            <w:tcBorders>
              <w:top w:val="outset" w:sz="6" w:space="0" w:color="auto"/>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r w:rsidRPr="00087A39">
              <w:rPr>
                <w:rFonts w:ascii="Times New Roman" w:eastAsia="Times New Roman" w:hAnsi="Times New Roman" w:cs="Times New Roman"/>
                <w:color w:val="000000"/>
                <w:sz w:val="20"/>
                <w:szCs w:val="20"/>
              </w:rPr>
              <w:t> </w:t>
            </w:r>
          </w:p>
        </w:tc>
        <w:tc>
          <w:tcPr>
            <w:tcW w:w="3119" w:type="dxa"/>
            <w:vMerge/>
            <w:tcBorders>
              <w:left w:val="outset" w:sz="6" w:space="0" w:color="auto"/>
              <w:bottom w:val="outset" w:sz="6" w:space="0" w:color="auto"/>
              <w:right w:val="outset" w:sz="6" w:space="0" w:color="auto"/>
            </w:tcBorders>
            <w:hideMark/>
          </w:tcPr>
          <w:p w:rsidR="00A90C98" w:rsidRPr="00087A39" w:rsidRDefault="00A90C98" w:rsidP="00087A39">
            <w:pPr>
              <w:spacing w:before="100" w:beforeAutospacing="1" w:after="100" w:afterAutospacing="1"/>
              <w:rPr>
                <w:rFonts w:ascii="Times New Roman" w:eastAsia="Times New Roman" w:hAnsi="Times New Roman" w:cs="Times New Roman"/>
                <w:color w:val="000000"/>
                <w:sz w:val="20"/>
                <w:szCs w:val="20"/>
              </w:rPr>
            </w:pPr>
          </w:p>
        </w:tc>
      </w:tr>
    </w:tbl>
    <w:p w:rsidR="00087A39" w:rsidRDefault="00033C5A" w:rsidP="00087A39">
      <w:pPr>
        <w:jc w:val="center"/>
      </w:pPr>
      <w:r>
        <w:t xml:space="preserve"> </w:t>
      </w:r>
    </w:p>
    <w:sectPr w:rsidR="00087A39" w:rsidSect="008D1AE6">
      <w:footerReference w:type="even" r:id="rId7"/>
      <w:footerReference w:type="default" r:id="rId8"/>
      <w:pgSz w:w="16820" w:h="11900" w:orient="landscape"/>
      <w:pgMar w:top="851" w:right="81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B6" w:rsidRDefault="000A2BB6" w:rsidP="00D85B33">
      <w:r>
        <w:separator/>
      </w:r>
    </w:p>
  </w:endnote>
  <w:endnote w:type="continuationSeparator" w:id="0">
    <w:p w:rsidR="000A2BB6" w:rsidRDefault="000A2BB6" w:rsidP="00D8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D9" w:rsidRDefault="00DB3DFB" w:rsidP="00D85B33">
    <w:pPr>
      <w:pStyle w:val="a8"/>
      <w:framePr w:wrap="around" w:vAnchor="text" w:hAnchor="margin" w:xAlign="right" w:y="1"/>
      <w:rPr>
        <w:rStyle w:val="aa"/>
      </w:rPr>
    </w:pPr>
    <w:r>
      <w:rPr>
        <w:rStyle w:val="aa"/>
      </w:rPr>
      <w:fldChar w:fldCharType="begin"/>
    </w:r>
    <w:r w:rsidR="00B40DD9">
      <w:rPr>
        <w:rStyle w:val="aa"/>
      </w:rPr>
      <w:instrText xml:space="preserve">PAGE  </w:instrText>
    </w:r>
    <w:r>
      <w:rPr>
        <w:rStyle w:val="aa"/>
      </w:rPr>
      <w:fldChar w:fldCharType="end"/>
    </w:r>
  </w:p>
  <w:p w:rsidR="00B40DD9" w:rsidRDefault="00B40DD9" w:rsidP="00D85B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D9" w:rsidRDefault="00DB3DFB" w:rsidP="00D85B33">
    <w:pPr>
      <w:pStyle w:val="a8"/>
      <w:framePr w:wrap="around" w:vAnchor="text" w:hAnchor="margin" w:xAlign="right" w:y="1"/>
      <w:rPr>
        <w:rStyle w:val="aa"/>
      </w:rPr>
    </w:pPr>
    <w:r>
      <w:rPr>
        <w:rStyle w:val="aa"/>
      </w:rPr>
      <w:fldChar w:fldCharType="begin"/>
    </w:r>
    <w:r w:rsidR="00B40DD9">
      <w:rPr>
        <w:rStyle w:val="aa"/>
      </w:rPr>
      <w:instrText xml:space="preserve">PAGE  </w:instrText>
    </w:r>
    <w:r>
      <w:rPr>
        <w:rStyle w:val="aa"/>
      </w:rPr>
      <w:fldChar w:fldCharType="separate"/>
    </w:r>
    <w:r w:rsidR="00A81420">
      <w:rPr>
        <w:rStyle w:val="aa"/>
        <w:noProof/>
      </w:rPr>
      <w:t>3</w:t>
    </w:r>
    <w:r>
      <w:rPr>
        <w:rStyle w:val="aa"/>
      </w:rPr>
      <w:fldChar w:fldCharType="end"/>
    </w:r>
  </w:p>
  <w:p w:rsidR="00B40DD9" w:rsidRDefault="00B40DD9" w:rsidP="00D85B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B6" w:rsidRDefault="000A2BB6" w:rsidP="00D85B33">
      <w:r>
        <w:separator/>
      </w:r>
    </w:p>
  </w:footnote>
  <w:footnote w:type="continuationSeparator" w:id="0">
    <w:p w:rsidR="000A2BB6" w:rsidRDefault="000A2BB6" w:rsidP="00D85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3"/>
    <w:rsid w:val="00033C5A"/>
    <w:rsid w:val="000347EF"/>
    <w:rsid w:val="00075851"/>
    <w:rsid w:val="00087A39"/>
    <w:rsid w:val="000A2BB6"/>
    <w:rsid w:val="0012213F"/>
    <w:rsid w:val="00131D5E"/>
    <w:rsid w:val="001853DD"/>
    <w:rsid w:val="00185E72"/>
    <w:rsid w:val="002E10CB"/>
    <w:rsid w:val="003C1774"/>
    <w:rsid w:val="003C5999"/>
    <w:rsid w:val="004E18D4"/>
    <w:rsid w:val="005607E0"/>
    <w:rsid w:val="005E5C81"/>
    <w:rsid w:val="006437BF"/>
    <w:rsid w:val="006A4E3D"/>
    <w:rsid w:val="006B4751"/>
    <w:rsid w:val="00745230"/>
    <w:rsid w:val="00753596"/>
    <w:rsid w:val="0075637B"/>
    <w:rsid w:val="007D0123"/>
    <w:rsid w:val="007D58E3"/>
    <w:rsid w:val="00824AE2"/>
    <w:rsid w:val="008C4039"/>
    <w:rsid w:val="008D1AE6"/>
    <w:rsid w:val="008E3716"/>
    <w:rsid w:val="00972A3A"/>
    <w:rsid w:val="009D2B1D"/>
    <w:rsid w:val="00A37A6B"/>
    <w:rsid w:val="00A81420"/>
    <w:rsid w:val="00A86437"/>
    <w:rsid w:val="00A90C98"/>
    <w:rsid w:val="00B176FD"/>
    <w:rsid w:val="00B40DD9"/>
    <w:rsid w:val="00BA1F45"/>
    <w:rsid w:val="00BE48A2"/>
    <w:rsid w:val="00C92CB8"/>
    <w:rsid w:val="00D277DB"/>
    <w:rsid w:val="00D56A26"/>
    <w:rsid w:val="00D85B33"/>
    <w:rsid w:val="00DB3DFB"/>
    <w:rsid w:val="00DF6E52"/>
    <w:rsid w:val="00E60D8B"/>
    <w:rsid w:val="00E663CA"/>
    <w:rsid w:val="00E71913"/>
    <w:rsid w:val="00E73E25"/>
    <w:rsid w:val="00F02A69"/>
    <w:rsid w:val="00F9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2851C8-C657-42D1-92C9-4E2570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99"/>
    <w:qFormat/>
    <w:rsid w:val="00D85B33"/>
    <w:pPr>
      <w:keepNext/>
      <w:keepLines/>
      <w:numPr>
        <w:ilvl w:val="1"/>
      </w:numPr>
      <w:spacing w:before="240" w:line="276" w:lineRule="auto"/>
      <w:ind w:firstLine="567"/>
      <w:jc w:val="center"/>
    </w:pPr>
    <w:rPr>
      <w:rFonts w:ascii="Times New Roman CYR" w:eastAsia="Times New Roman" w:hAnsi="Times New Roman CYR" w:cs="Times New Roman"/>
      <w:b/>
      <w:iCs/>
      <w:color w:val="006666"/>
      <w:spacing w:val="20"/>
      <w:lang w:eastAsia="en-US"/>
    </w:rPr>
  </w:style>
  <w:style w:type="character" w:customStyle="1" w:styleId="a5">
    <w:name w:val="Подзаголовок Знак"/>
    <w:basedOn w:val="a0"/>
    <w:link w:val="a4"/>
    <w:uiPriority w:val="99"/>
    <w:rsid w:val="00D85B33"/>
    <w:rPr>
      <w:rFonts w:ascii="Times New Roman CYR" w:eastAsia="Times New Roman" w:hAnsi="Times New Roman CYR" w:cs="Times New Roman"/>
      <w:b/>
      <w:iCs/>
      <w:color w:val="006666"/>
      <w:spacing w:val="20"/>
      <w:lang w:eastAsia="en-US"/>
    </w:rPr>
  </w:style>
  <w:style w:type="paragraph" w:styleId="a6">
    <w:name w:val="Balloon Text"/>
    <w:basedOn w:val="a"/>
    <w:link w:val="a7"/>
    <w:uiPriority w:val="99"/>
    <w:semiHidden/>
    <w:unhideWhenUsed/>
    <w:rsid w:val="00D85B33"/>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D85B33"/>
    <w:rPr>
      <w:rFonts w:ascii="Lucida Grande CY" w:hAnsi="Lucida Grande CY" w:cs="Lucida Grande CY"/>
      <w:sz w:val="18"/>
      <w:szCs w:val="18"/>
    </w:rPr>
  </w:style>
  <w:style w:type="paragraph" w:styleId="a8">
    <w:name w:val="footer"/>
    <w:basedOn w:val="a"/>
    <w:link w:val="a9"/>
    <w:uiPriority w:val="99"/>
    <w:unhideWhenUsed/>
    <w:rsid w:val="00D85B33"/>
    <w:pPr>
      <w:tabs>
        <w:tab w:val="center" w:pos="4677"/>
        <w:tab w:val="right" w:pos="9355"/>
      </w:tabs>
    </w:pPr>
  </w:style>
  <w:style w:type="character" w:customStyle="1" w:styleId="a9">
    <w:name w:val="Нижний колонтитул Знак"/>
    <w:basedOn w:val="a0"/>
    <w:link w:val="a8"/>
    <w:uiPriority w:val="99"/>
    <w:rsid w:val="00D85B33"/>
  </w:style>
  <w:style w:type="character" w:styleId="aa">
    <w:name w:val="page number"/>
    <w:basedOn w:val="a0"/>
    <w:uiPriority w:val="99"/>
    <w:semiHidden/>
    <w:unhideWhenUsed/>
    <w:rsid w:val="00D85B33"/>
  </w:style>
  <w:style w:type="paragraph" w:styleId="ab">
    <w:name w:val="Normal (Web)"/>
    <w:basedOn w:val="a"/>
    <w:uiPriority w:val="99"/>
    <w:unhideWhenUsed/>
    <w:rsid w:val="00087A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08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3793">
      <w:bodyDiv w:val="1"/>
      <w:marLeft w:val="0"/>
      <w:marRight w:val="0"/>
      <w:marTop w:val="0"/>
      <w:marBottom w:val="0"/>
      <w:divBdr>
        <w:top w:val="none" w:sz="0" w:space="0" w:color="auto"/>
        <w:left w:val="none" w:sz="0" w:space="0" w:color="auto"/>
        <w:bottom w:val="none" w:sz="0" w:space="0" w:color="auto"/>
        <w:right w:val="none" w:sz="0" w:space="0" w:color="auto"/>
      </w:divBdr>
    </w:div>
    <w:div w:id="756289311">
      <w:bodyDiv w:val="1"/>
      <w:marLeft w:val="0"/>
      <w:marRight w:val="0"/>
      <w:marTop w:val="0"/>
      <w:marBottom w:val="0"/>
      <w:divBdr>
        <w:top w:val="none" w:sz="0" w:space="0" w:color="auto"/>
        <w:left w:val="none" w:sz="0" w:space="0" w:color="auto"/>
        <w:bottom w:val="none" w:sz="0" w:space="0" w:color="auto"/>
        <w:right w:val="none" w:sz="0" w:space="0" w:color="auto"/>
      </w:divBdr>
    </w:div>
    <w:div w:id="2061896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5723</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Жарких</dc:creator>
  <cp:lastModifiedBy>Оксана Сухарева</cp:lastModifiedBy>
  <cp:revision>2</cp:revision>
  <dcterms:created xsi:type="dcterms:W3CDTF">2017-04-20T09:53:00Z</dcterms:created>
  <dcterms:modified xsi:type="dcterms:W3CDTF">2017-04-20T09:53:00Z</dcterms:modified>
</cp:coreProperties>
</file>