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943"/>
      </w:tblGrid>
      <w:tr w:rsidR="00FD7ABC" w:rsidRPr="00EB6F3E" w:rsidTr="00801407">
        <w:trPr>
          <w:trHeight w:val="1077"/>
        </w:trPr>
        <w:tc>
          <w:tcPr>
            <w:tcW w:w="6663" w:type="dxa"/>
          </w:tcPr>
          <w:p w:rsidR="000B4D67" w:rsidRPr="00EB6F3E" w:rsidRDefault="000B4D67" w:rsidP="000B4D67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0B4D67" w:rsidRPr="00EB6F3E" w:rsidRDefault="000B4D67" w:rsidP="000B4D67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D7ABC" w:rsidRPr="00EB6F3E" w:rsidRDefault="000B4D67" w:rsidP="000B4D67">
            <w:pPr>
              <w:rPr>
                <w:rFonts w:ascii="Times New Roman" w:hAnsi="Times New Roman" w:cs="Times New Roman"/>
                <w:sz w:val="18"/>
              </w:rPr>
            </w:pP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  <w:r w:rsidRPr="00EB6F3E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br/>
              <w:t>(ФОНД «НРБУ «БМЦ»)</w:t>
            </w:r>
          </w:p>
        </w:tc>
        <w:tc>
          <w:tcPr>
            <w:tcW w:w="2943" w:type="dxa"/>
          </w:tcPr>
          <w:p w:rsidR="00FD7ABC" w:rsidRPr="00EB6F3E" w:rsidRDefault="00FD7ABC" w:rsidP="00EF6DDC">
            <w:pPr>
              <w:spacing w:before="100" w:beforeAutospacing="1"/>
              <w:ind w:left="-426" w:firstLine="70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34D63" w:rsidRPr="00934D63" w:rsidRDefault="00934D63" w:rsidP="00934D63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>К</w:t>
      </w:r>
      <w:r w:rsidRPr="00934D63">
        <w:rPr>
          <w:b/>
          <w:color w:val="C00000"/>
          <w:sz w:val="28"/>
          <w:szCs w:val="28"/>
        </w:rPr>
        <w:t>омментарий ПАО «</w:t>
      </w:r>
      <w:proofErr w:type="spellStart"/>
      <w:r w:rsidRPr="00934D63">
        <w:rPr>
          <w:b/>
          <w:color w:val="C00000"/>
          <w:sz w:val="28"/>
          <w:szCs w:val="28"/>
        </w:rPr>
        <w:t>Сургутнефтегаз</w:t>
      </w:r>
      <w:proofErr w:type="spellEnd"/>
      <w:r w:rsidRPr="00934D63">
        <w:rPr>
          <w:b/>
          <w:color w:val="C00000"/>
          <w:sz w:val="28"/>
          <w:szCs w:val="28"/>
        </w:rPr>
        <w:t>» к</w:t>
      </w:r>
      <w:r w:rsidRPr="00091184">
        <w:rPr>
          <w:b/>
          <w:color w:val="C00000"/>
          <w:sz w:val="28"/>
          <w:szCs w:val="28"/>
        </w:rPr>
        <w:t> </w:t>
      </w:r>
      <w:r w:rsidR="00B10DE4" w:rsidRPr="00091184">
        <w:rPr>
          <w:b/>
          <w:color w:val="C00000"/>
          <w:sz w:val="28"/>
          <w:szCs w:val="28"/>
        </w:rPr>
        <w:t xml:space="preserve">проектам </w:t>
      </w:r>
      <w:r w:rsidR="00B10DE4">
        <w:rPr>
          <w:b/>
          <w:color w:val="C00000"/>
          <w:sz w:val="28"/>
          <w:szCs w:val="28"/>
        </w:rPr>
        <w:t>р</w:t>
      </w:r>
      <w:r w:rsidRPr="00934D63">
        <w:rPr>
          <w:b/>
          <w:color w:val="C00000"/>
          <w:sz w:val="28"/>
          <w:szCs w:val="28"/>
        </w:rPr>
        <w:t>екомендаци</w:t>
      </w:r>
      <w:r w:rsidR="00B10DE4">
        <w:rPr>
          <w:b/>
          <w:color w:val="C00000"/>
          <w:sz w:val="28"/>
          <w:szCs w:val="28"/>
        </w:rPr>
        <w:t xml:space="preserve">й </w:t>
      </w:r>
    </w:p>
    <w:p w:rsidR="00934D63" w:rsidRPr="00934D63" w:rsidRDefault="00934D63" w:rsidP="00934D63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0DE4" w:rsidRPr="00B10DE4" w:rsidRDefault="00B10DE4" w:rsidP="00B10DE4">
      <w:pPr>
        <w:pStyle w:val="1"/>
        <w:numPr>
          <w:ilvl w:val="0"/>
          <w:numId w:val="18"/>
        </w:numPr>
        <w:shd w:val="clear" w:color="auto" w:fill="FFFFFF"/>
        <w:spacing w:before="0"/>
        <w:ind w:right="-72"/>
        <w:textAlignment w:val="baseline"/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</w:pPr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 xml:space="preserve">Рекомендации Р-Х/2018 - ОК </w:t>
      </w:r>
      <w:proofErr w:type="spellStart"/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>Нефтегаз</w:t>
      </w:r>
      <w:proofErr w:type="spellEnd"/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 xml:space="preserve"> «</w:t>
      </w:r>
      <w:hyperlink r:id="rId7" w:history="1">
        <w:r w:rsidRPr="00B10DE4">
          <w:rPr>
            <w:rStyle w:val="af"/>
            <w:rFonts w:asciiTheme="minorHAnsi" w:eastAsiaTheme="minorHAnsi" w:hAnsiTheme="minorHAnsi" w:cstheme="minorBidi"/>
            <w:b/>
            <w:sz w:val="22"/>
            <w:szCs w:val="26"/>
            <w:lang w:eastAsia="en-US"/>
          </w:rPr>
          <w:t>Затраты на сухую разведочную скважину, понесенные после КЦД</w:t>
        </w:r>
      </w:hyperlink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>» </w:t>
      </w:r>
    </w:p>
    <w:p w:rsidR="00B10DE4" w:rsidRDefault="00934D63" w:rsidP="00B10DE4">
      <w:pPr>
        <w:pStyle w:val="1"/>
        <w:shd w:val="clear" w:color="auto" w:fill="FFFFFF"/>
        <w:spacing w:before="0"/>
        <w:ind w:left="-72" w:right="-72"/>
        <w:textAlignment w:val="baseline"/>
        <w:rPr>
          <w:rFonts w:asciiTheme="minorHAnsi" w:eastAsiaTheme="minorHAnsi" w:hAnsiTheme="minorHAnsi" w:cstheme="minorBidi"/>
          <w:color w:val="auto"/>
          <w:sz w:val="22"/>
          <w:szCs w:val="26"/>
          <w:lang w:eastAsia="en-US"/>
        </w:rPr>
      </w:pPr>
      <w:r w:rsidRPr="00B10DE4">
        <w:rPr>
          <w:rFonts w:asciiTheme="minorHAnsi" w:eastAsiaTheme="minorHAnsi" w:hAnsiTheme="minorHAnsi" w:cstheme="minorBidi"/>
          <w:color w:val="auto"/>
          <w:sz w:val="22"/>
          <w:szCs w:val="26"/>
          <w:lang w:eastAsia="en-US"/>
        </w:rPr>
        <w:t xml:space="preserve">Пункт 5. Рекомендации Р-Х/2018 - ОК </w:t>
      </w:r>
      <w:proofErr w:type="spellStart"/>
      <w:r w:rsidRPr="00B10DE4">
        <w:rPr>
          <w:rFonts w:asciiTheme="minorHAnsi" w:eastAsiaTheme="minorHAnsi" w:hAnsiTheme="minorHAnsi" w:cstheme="minorBidi"/>
          <w:color w:val="auto"/>
          <w:sz w:val="22"/>
          <w:szCs w:val="26"/>
          <w:lang w:eastAsia="en-US"/>
        </w:rPr>
        <w:t>Нефтегаз</w:t>
      </w:r>
      <w:proofErr w:type="spellEnd"/>
      <w:r w:rsidRPr="00B10DE4">
        <w:rPr>
          <w:rFonts w:asciiTheme="minorHAnsi" w:eastAsiaTheme="minorHAnsi" w:hAnsiTheme="minorHAnsi" w:cstheme="minorBidi"/>
          <w:color w:val="auto"/>
          <w:sz w:val="22"/>
          <w:szCs w:val="26"/>
          <w:lang w:eastAsia="en-US"/>
        </w:rPr>
        <w:t xml:space="preserve"> «</w:t>
      </w:r>
      <w:hyperlink r:id="rId8" w:history="1">
        <w:r w:rsidR="00B10DE4" w:rsidRPr="00B10DE4">
          <w:rPr>
            <w:rStyle w:val="af"/>
            <w:rFonts w:asciiTheme="minorHAnsi" w:eastAsiaTheme="minorHAnsi" w:hAnsiTheme="minorHAnsi" w:cstheme="minorBidi"/>
            <w:sz w:val="22"/>
            <w:szCs w:val="26"/>
            <w:lang w:eastAsia="en-US"/>
          </w:rPr>
          <w:t>Затраты на сухую разведочную скважину, понесенные после КЦД</w:t>
        </w:r>
      </w:hyperlink>
      <w:r w:rsidRPr="00B10DE4">
        <w:rPr>
          <w:rFonts w:asciiTheme="minorHAnsi" w:eastAsiaTheme="minorHAnsi" w:hAnsiTheme="minorHAnsi" w:cstheme="minorBidi"/>
          <w:color w:val="auto"/>
          <w:sz w:val="22"/>
          <w:szCs w:val="26"/>
          <w:lang w:eastAsia="en-US"/>
        </w:rPr>
        <w:t>» не соответствует критериям признания в качестве нематериального актива, установленным пунктом 3 ПБУ 14/2007, согласно которым у объекта отсутствует материально-вещественная форма.</w:t>
      </w:r>
    </w:p>
    <w:p w:rsidR="00B10DE4" w:rsidRPr="00B10DE4" w:rsidRDefault="00B10DE4" w:rsidP="00B10DE4"/>
    <w:p w:rsidR="00934D63" w:rsidRPr="00B10DE4" w:rsidRDefault="00B10DE4" w:rsidP="00B10DE4">
      <w:pPr>
        <w:pStyle w:val="1"/>
        <w:numPr>
          <w:ilvl w:val="0"/>
          <w:numId w:val="18"/>
        </w:numPr>
        <w:shd w:val="clear" w:color="auto" w:fill="FFFFFF"/>
        <w:spacing w:before="0"/>
        <w:ind w:right="-72"/>
        <w:textAlignment w:val="baseline"/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</w:pPr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 xml:space="preserve"> Рекомендации Р-Х/2018 - ОК </w:t>
      </w:r>
      <w:proofErr w:type="spellStart"/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>Нефтегаз</w:t>
      </w:r>
      <w:proofErr w:type="spellEnd"/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 xml:space="preserve"> «</w:t>
      </w:r>
      <w:hyperlink r:id="rId9" w:tgtFrame="_blank" w:history="1">
        <w:r w:rsidRPr="00B10DE4">
          <w:rPr>
            <w:rStyle w:val="af"/>
            <w:b/>
            <w:sz w:val="22"/>
            <w:szCs w:val="22"/>
            <w:lang w:eastAsia="en-US"/>
          </w:rPr>
          <w:t>Налог на дополнительный доход</w:t>
        </w:r>
      </w:hyperlink>
      <w:r w:rsidRPr="00B10DE4">
        <w:rPr>
          <w:rFonts w:asciiTheme="minorHAnsi" w:eastAsiaTheme="minorHAnsi" w:hAnsiTheme="minorHAnsi" w:cstheme="minorBidi"/>
          <w:b/>
          <w:color w:val="auto"/>
          <w:sz w:val="22"/>
          <w:szCs w:val="26"/>
          <w:lang w:eastAsia="en-US"/>
        </w:rPr>
        <w:t>»</w:t>
      </w:r>
    </w:p>
    <w:p w:rsidR="00934D63" w:rsidRDefault="00934D63" w:rsidP="00934D63">
      <w:pPr>
        <w:ind w:firstLine="709"/>
        <w:jc w:val="both"/>
        <w:rPr>
          <w:szCs w:val="26"/>
        </w:rPr>
      </w:pPr>
    </w:p>
    <w:p w:rsidR="00934D63" w:rsidRDefault="00934D63" w:rsidP="00934D63">
      <w:pPr>
        <w:ind w:firstLine="709"/>
        <w:jc w:val="both"/>
        <w:rPr>
          <w:rFonts w:eastAsiaTheme="minorEastAsia" w:cstheme="minorHAnsi"/>
          <w:szCs w:val="26"/>
          <w:lang w:eastAsia="ru-RU"/>
        </w:rPr>
      </w:pPr>
      <w:r w:rsidRPr="005E7FDD">
        <w:rPr>
          <w:szCs w:val="26"/>
        </w:rPr>
        <w:t xml:space="preserve">Рассмотрев проект Рекомендации Р-Х/2018 - ОК </w:t>
      </w:r>
      <w:proofErr w:type="spellStart"/>
      <w:r w:rsidRPr="005E7FDD">
        <w:rPr>
          <w:szCs w:val="26"/>
        </w:rPr>
        <w:t>Нефтегаз</w:t>
      </w:r>
      <w:proofErr w:type="spellEnd"/>
      <w:r w:rsidRPr="005E7FDD">
        <w:rPr>
          <w:szCs w:val="26"/>
        </w:rPr>
        <w:t xml:space="preserve"> «</w:t>
      </w:r>
      <w:hyperlink r:id="rId10" w:tgtFrame="_blank" w:history="1">
        <w:r w:rsidRPr="005E7FDD">
          <w:rPr>
            <w:rStyle w:val="af"/>
            <w:szCs w:val="26"/>
          </w:rPr>
          <w:t>Налог на дополнительный доход</w:t>
        </w:r>
      </w:hyperlink>
      <w:r w:rsidRPr="005E7FDD">
        <w:rPr>
          <w:szCs w:val="26"/>
        </w:rPr>
        <w:t>», считаю</w:t>
      </w:r>
      <w:r>
        <w:rPr>
          <w:szCs w:val="26"/>
        </w:rPr>
        <w:t xml:space="preserve">, что </w:t>
      </w:r>
      <w:r w:rsidRPr="005E7FDD">
        <w:rPr>
          <w:szCs w:val="26"/>
        </w:rPr>
        <w:t xml:space="preserve"> изложенны</w:t>
      </w:r>
      <w:r>
        <w:rPr>
          <w:szCs w:val="26"/>
        </w:rPr>
        <w:t>й</w:t>
      </w:r>
      <w:r w:rsidRPr="005E7FDD">
        <w:rPr>
          <w:szCs w:val="26"/>
        </w:rPr>
        <w:t xml:space="preserve"> вывод об отнесении </w:t>
      </w:r>
      <w:r w:rsidRPr="005E7FDD">
        <w:rPr>
          <w:rFonts w:eastAsiaTheme="minorEastAsia" w:cstheme="minorHAnsi"/>
          <w:szCs w:val="26"/>
          <w:lang w:eastAsia="ru-RU"/>
        </w:rPr>
        <w:t>НДД к  налогу на прибыль с точки зрения бухгалтерского учета</w:t>
      </w:r>
      <w:r>
        <w:rPr>
          <w:rFonts w:eastAsiaTheme="minorEastAsia" w:cstheme="minorHAnsi"/>
          <w:szCs w:val="26"/>
          <w:lang w:eastAsia="ru-RU"/>
        </w:rPr>
        <w:t xml:space="preserve"> является дискуссионным, крайне </w:t>
      </w:r>
      <w:r w:rsidRPr="005E7FDD">
        <w:rPr>
          <w:rFonts w:eastAsiaTheme="minorEastAsia" w:cstheme="minorHAnsi"/>
          <w:szCs w:val="26"/>
          <w:lang w:eastAsia="ru-RU"/>
        </w:rPr>
        <w:t xml:space="preserve">преждевременным, </w:t>
      </w:r>
      <w:r>
        <w:rPr>
          <w:rFonts w:eastAsiaTheme="minorEastAsia" w:cstheme="minorHAnsi"/>
          <w:szCs w:val="26"/>
          <w:lang w:eastAsia="ru-RU"/>
        </w:rPr>
        <w:t>не в полной мере обоснованным.</w:t>
      </w:r>
      <w:r w:rsidRPr="005E7FDD">
        <w:rPr>
          <w:rFonts w:eastAsiaTheme="minorEastAsia" w:cstheme="minorHAnsi"/>
          <w:szCs w:val="26"/>
          <w:lang w:eastAsia="ru-RU"/>
        </w:rPr>
        <w:t xml:space="preserve"> </w:t>
      </w:r>
      <w:r>
        <w:rPr>
          <w:rFonts w:eastAsiaTheme="minorEastAsia" w:cstheme="minorHAnsi"/>
          <w:szCs w:val="26"/>
          <w:lang w:eastAsia="ru-RU"/>
        </w:rPr>
        <w:t>Имеет место противоречие изложенных</w:t>
      </w:r>
      <w:r w:rsidRPr="005E7FDD">
        <w:rPr>
          <w:rFonts w:eastAsiaTheme="minorEastAsia" w:cstheme="minorHAnsi"/>
          <w:szCs w:val="26"/>
          <w:lang w:eastAsia="ru-RU"/>
        </w:rPr>
        <w:t xml:space="preserve"> вывод</w:t>
      </w:r>
      <w:r>
        <w:rPr>
          <w:rFonts w:eastAsiaTheme="minorEastAsia" w:cstheme="minorHAnsi"/>
          <w:szCs w:val="26"/>
          <w:lang w:eastAsia="ru-RU"/>
        </w:rPr>
        <w:t>ов</w:t>
      </w:r>
      <w:r w:rsidRPr="005E7FDD">
        <w:rPr>
          <w:rFonts w:eastAsiaTheme="minorEastAsia" w:cstheme="minorHAnsi"/>
          <w:szCs w:val="26"/>
          <w:lang w:eastAsia="ru-RU"/>
        </w:rPr>
        <w:t xml:space="preserve"> </w:t>
      </w:r>
      <w:r>
        <w:rPr>
          <w:rFonts w:eastAsiaTheme="minorEastAsia" w:cstheme="minorHAnsi"/>
          <w:szCs w:val="26"/>
          <w:lang w:eastAsia="ru-RU"/>
        </w:rPr>
        <w:t>относительно природы НДД концептуальному подходу в формировании бухгалтерской (финансовой) отчетности</w:t>
      </w:r>
      <w:r w:rsidRPr="00983FBA">
        <w:rPr>
          <w:rFonts w:eastAsiaTheme="minorEastAsia" w:cstheme="minorHAnsi"/>
          <w:szCs w:val="26"/>
          <w:lang w:eastAsia="ru-RU"/>
        </w:rPr>
        <w:t xml:space="preserve"> </w:t>
      </w:r>
      <w:r>
        <w:rPr>
          <w:rFonts w:eastAsiaTheme="minorEastAsia" w:cstheme="minorHAnsi"/>
          <w:szCs w:val="26"/>
          <w:lang w:eastAsia="ru-RU"/>
        </w:rPr>
        <w:t xml:space="preserve">и отражении в ней налога на прибыль.  С этой точки зрения НДД не </w:t>
      </w:r>
      <w:proofErr w:type="gramStart"/>
      <w:r>
        <w:rPr>
          <w:rFonts w:eastAsiaTheme="minorEastAsia" w:cstheme="minorHAnsi"/>
          <w:szCs w:val="26"/>
          <w:lang w:eastAsia="ru-RU"/>
        </w:rPr>
        <w:t>тождественен</w:t>
      </w:r>
      <w:proofErr w:type="gramEnd"/>
      <w:r>
        <w:rPr>
          <w:rFonts w:eastAsiaTheme="minorEastAsia" w:cstheme="minorHAnsi"/>
          <w:szCs w:val="26"/>
          <w:lang w:eastAsia="ru-RU"/>
        </w:rPr>
        <w:t xml:space="preserve"> налогу на прибыль.</w:t>
      </w:r>
    </w:p>
    <w:p w:rsidR="00934D63" w:rsidRDefault="00934D63" w:rsidP="00934D63">
      <w:pPr>
        <w:ind w:firstLine="709"/>
        <w:jc w:val="both"/>
        <w:rPr>
          <w:rFonts w:cs="Arial"/>
          <w:szCs w:val="26"/>
        </w:rPr>
      </w:pPr>
      <w:r>
        <w:rPr>
          <w:rFonts w:eastAsiaTheme="minorEastAsia" w:cstheme="minorHAnsi"/>
          <w:szCs w:val="26"/>
          <w:lang w:eastAsia="ru-RU"/>
        </w:rPr>
        <w:t xml:space="preserve">Следует иметь </w:t>
      </w:r>
      <w:proofErr w:type="gramStart"/>
      <w:r>
        <w:rPr>
          <w:rFonts w:eastAsiaTheme="minorEastAsia" w:cstheme="minorHAnsi"/>
          <w:szCs w:val="26"/>
          <w:lang w:eastAsia="ru-RU"/>
        </w:rPr>
        <w:t>ввиду</w:t>
      </w:r>
      <w:proofErr w:type="gramEnd"/>
      <w:r>
        <w:rPr>
          <w:rFonts w:eastAsiaTheme="minorEastAsia" w:cstheme="minorHAnsi"/>
          <w:szCs w:val="26"/>
          <w:lang w:eastAsia="ru-RU"/>
        </w:rPr>
        <w:t xml:space="preserve">, что </w:t>
      </w:r>
      <w:proofErr w:type="gramStart"/>
      <w:r>
        <w:rPr>
          <w:rFonts w:eastAsiaTheme="minorEastAsia" w:cstheme="minorHAnsi"/>
          <w:szCs w:val="26"/>
          <w:lang w:eastAsia="ru-RU"/>
        </w:rPr>
        <w:t>р</w:t>
      </w:r>
      <w:r>
        <w:rPr>
          <w:rFonts w:cs="Arial"/>
          <w:szCs w:val="26"/>
        </w:rPr>
        <w:t>ежим</w:t>
      </w:r>
      <w:proofErr w:type="gramEnd"/>
      <w:r>
        <w:rPr>
          <w:rFonts w:cs="Arial"/>
          <w:szCs w:val="26"/>
        </w:rPr>
        <w:t xml:space="preserve"> НДД предполагает снижение суммарной величины налогов, зависящих от валовых показателей, то есть налога на добычу полезных ископаемых и вывозной таможенной пошлины на нефть, при этом действующий порядок исчисления налога на прибыль организаций сохранится.</w:t>
      </w:r>
    </w:p>
    <w:p w:rsidR="00934D63" w:rsidRPr="0050533E" w:rsidRDefault="00934D63" w:rsidP="00934D63">
      <w:pPr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proofErr w:type="gramStart"/>
      <w:r>
        <w:rPr>
          <w:rFonts w:cs="Arial"/>
          <w:szCs w:val="26"/>
        </w:rPr>
        <w:t xml:space="preserve">НДД лишь уменьшит базу налога на прибыль организаций, т.е. </w:t>
      </w:r>
      <w:r w:rsidRPr="0050533E">
        <w:rPr>
          <w:rFonts w:cs="Arial"/>
          <w:szCs w:val="26"/>
        </w:rPr>
        <w:t>суммы НДД (суммы авансовых платежей по НДД), начисленные в соответствии с законодательством РФ, учитываются для целей налогообложения прибыли в составе прочих расходов, связанных с производством и (или) реализацией, на дату их начисления (</w:t>
      </w:r>
      <w:proofErr w:type="spellStart"/>
      <w:r>
        <w:fldChar w:fldCharType="begin"/>
      </w:r>
      <w:r>
        <w:instrText>HYPERLINK "consultantplus://offline/ref=AFCF6E60ED9CAC5C67F2CD6D886D0F22E676FCCC675EB0B987F35EA7E4A956E8442417B564850Eb9i9P"</w:instrText>
      </w:r>
      <w:r>
        <w:fldChar w:fldCharType="separate"/>
      </w:r>
      <w:r w:rsidRPr="0050533E">
        <w:rPr>
          <w:rFonts w:cs="Arial"/>
          <w:szCs w:val="26"/>
        </w:rPr>
        <w:t>подп</w:t>
      </w:r>
      <w:proofErr w:type="spellEnd"/>
      <w:r w:rsidRPr="0050533E">
        <w:rPr>
          <w:rFonts w:cs="Arial"/>
          <w:szCs w:val="26"/>
        </w:rPr>
        <w:t>. 1 п. 1 ст. 264</w:t>
      </w:r>
      <w:r>
        <w:fldChar w:fldCharType="end"/>
      </w:r>
      <w:r w:rsidRPr="0050533E">
        <w:rPr>
          <w:rFonts w:cs="Arial"/>
          <w:szCs w:val="26"/>
        </w:rPr>
        <w:t xml:space="preserve">, </w:t>
      </w:r>
      <w:hyperlink r:id="rId11" w:history="1">
        <w:proofErr w:type="spellStart"/>
        <w:r w:rsidRPr="0050533E">
          <w:rPr>
            <w:rFonts w:cs="Arial"/>
            <w:szCs w:val="26"/>
          </w:rPr>
          <w:t>подп</w:t>
        </w:r>
        <w:proofErr w:type="spellEnd"/>
        <w:r w:rsidRPr="0050533E">
          <w:rPr>
            <w:rFonts w:cs="Arial"/>
            <w:szCs w:val="26"/>
          </w:rPr>
          <w:t>. 1 п. 7 ст. 272</w:t>
        </w:r>
      </w:hyperlink>
      <w:r w:rsidRPr="0050533E">
        <w:rPr>
          <w:rFonts w:cs="Arial"/>
          <w:szCs w:val="26"/>
        </w:rPr>
        <w:t xml:space="preserve"> НК РФ). </w:t>
      </w:r>
      <w:proofErr w:type="gramEnd"/>
    </w:p>
    <w:p w:rsidR="00934D63" w:rsidRDefault="00934D63" w:rsidP="00934D63">
      <w:pPr>
        <w:tabs>
          <w:tab w:val="left" w:pos="567"/>
        </w:tabs>
        <w:ind w:firstLine="709"/>
        <w:jc w:val="both"/>
      </w:pPr>
      <w:r>
        <w:rPr>
          <w:rFonts w:eastAsiaTheme="minorEastAsia" w:cstheme="minorHAnsi"/>
          <w:szCs w:val="26"/>
          <w:lang w:eastAsia="ru-RU"/>
        </w:rPr>
        <w:t xml:space="preserve">В отличие от НДД, </w:t>
      </w:r>
      <w:r w:rsidRPr="001A6B0D">
        <w:rPr>
          <w:rFonts w:cs="Arial"/>
          <w:szCs w:val="26"/>
        </w:rPr>
        <w:t xml:space="preserve">налог на прибыль представляет собой уменьшение итогового финансового результата организации, а именно, суммы чистой прибыли. Именно этот факт </w:t>
      </w:r>
      <w:r>
        <w:rPr>
          <w:rFonts w:cs="Arial"/>
          <w:szCs w:val="26"/>
        </w:rPr>
        <w:t xml:space="preserve">следует учитывать при отнесении налога как такового к налогу на прибыль с точки зрения бухгалтерского учета. </w:t>
      </w:r>
      <w:r w:rsidRPr="0050533E">
        <w:rPr>
          <w:rFonts w:cs="Arial"/>
          <w:szCs w:val="26"/>
        </w:rPr>
        <w:t xml:space="preserve">В </w:t>
      </w:r>
      <w:proofErr w:type="gramStart"/>
      <w:r w:rsidRPr="0050533E">
        <w:rPr>
          <w:rFonts w:cs="Arial"/>
          <w:szCs w:val="26"/>
        </w:rPr>
        <w:t>связи</w:t>
      </w:r>
      <w:proofErr w:type="gramEnd"/>
      <w:r w:rsidRPr="0050533E">
        <w:rPr>
          <w:rFonts w:cs="Arial"/>
          <w:szCs w:val="26"/>
        </w:rPr>
        <w:t xml:space="preserve"> с чем </w:t>
      </w:r>
      <w:r w:rsidRPr="0050533E">
        <w:t>трактовать</w:t>
      </w:r>
      <w:r w:rsidRPr="0050533E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НДД</w:t>
      </w:r>
      <w:r w:rsidRPr="0050533E">
        <w:rPr>
          <w:rFonts w:cs="Arial"/>
          <w:szCs w:val="26"/>
        </w:rPr>
        <w:t xml:space="preserve"> </w:t>
      </w:r>
      <w:r w:rsidRPr="0050533E">
        <w:t xml:space="preserve">аналогично налогу на прибыль </w:t>
      </w:r>
      <w:r>
        <w:t xml:space="preserve">при сохранении действующего режима налогообложения прибыли </w:t>
      </w:r>
      <w:r w:rsidRPr="0050533E">
        <w:t xml:space="preserve">некорректно. </w:t>
      </w:r>
    </w:p>
    <w:p w:rsidR="00934D63" w:rsidRDefault="00934D63" w:rsidP="00934D63">
      <w:pPr>
        <w:tabs>
          <w:tab w:val="left" w:pos="567"/>
        </w:tabs>
        <w:ind w:firstLine="709"/>
        <w:jc w:val="both"/>
        <w:rPr>
          <w:szCs w:val="26"/>
        </w:rPr>
      </w:pPr>
      <w:r w:rsidRPr="0050533E">
        <w:rPr>
          <w:szCs w:val="26"/>
        </w:rPr>
        <w:t xml:space="preserve">Также следует иметь </w:t>
      </w:r>
      <w:r>
        <w:rPr>
          <w:szCs w:val="26"/>
        </w:rPr>
        <w:t xml:space="preserve">ввиду, что </w:t>
      </w:r>
      <w:r w:rsidRPr="00482F6C">
        <w:rPr>
          <w:rFonts w:cs="Arial"/>
          <w:bCs/>
          <w:szCs w:val="26"/>
        </w:rPr>
        <w:t xml:space="preserve">требованиями </w:t>
      </w:r>
      <w:r>
        <w:rPr>
          <w:rFonts w:cs="Arial"/>
          <w:bCs/>
          <w:szCs w:val="26"/>
        </w:rPr>
        <w:t>законодательства по бухгалтерскому учету,</w:t>
      </w:r>
      <w:r w:rsidRPr="00482F6C">
        <w:rPr>
          <w:rFonts w:cs="Arial"/>
          <w:bCs/>
          <w:szCs w:val="26"/>
        </w:rPr>
        <w:t xml:space="preserve"> в том числе отраслевыми</w:t>
      </w:r>
      <w:r>
        <w:rPr>
          <w:rFonts w:cs="Arial"/>
          <w:bCs/>
          <w:szCs w:val="26"/>
        </w:rPr>
        <w:t>,</w:t>
      </w:r>
      <w:r w:rsidRPr="00482F6C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 xml:space="preserve">в отношении </w:t>
      </w:r>
      <w:r w:rsidRPr="00482F6C">
        <w:rPr>
          <w:rFonts w:cs="Arial"/>
          <w:bCs/>
          <w:szCs w:val="26"/>
        </w:rPr>
        <w:t xml:space="preserve">формирования сведений о </w:t>
      </w:r>
      <w:r w:rsidRPr="00482F6C">
        <w:rPr>
          <w:rFonts w:cs="Arial"/>
          <w:szCs w:val="26"/>
        </w:rPr>
        <w:t>бухгалтерск</w:t>
      </w:r>
      <w:r>
        <w:rPr>
          <w:rFonts w:cs="Arial"/>
          <w:szCs w:val="26"/>
        </w:rPr>
        <w:t>ой</w:t>
      </w:r>
      <w:r w:rsidRPr="00482F6C">
        <w:rPr>
          <w:rFonts w:cs="Arial"/>
          <w:szCs w:val="26"/>
        </w:rPr>
        <w:t xml:space="preserve"> прибыл</w:t>
      </w:r>
      <w:r>
        <w:rPr>
          <w:rFonts w:cs="Arial"/>
          <w:szCs w:val="26"/>
        </w:rPr>
        <w:t>и</w:t>
      </w:r>
      <w:r w:rsidRPr="00482F6C">
        <w:rPr>
          <w:rFonts w:cs="Arial"/>
          <w:szCs w:val="26"/>
        </w:rPr>
        <w:t xml:space="preserve"> (убытк</w:t>
      </w:r>
      <w:r>
        <w:rPr>
          <w:rFonts w:cs="Arial"/>
          <w:szCs w:val="26"/>
        </w:rPr>
        <w:t>е</w:t>
      </w:r>
      <w:r w:rsidRPr="00482F6C">
        <w:rPr>
          <w:rFonts w:cs="Arial"/>
          <w:szCs w:val="26"/>
        </w:rPr>
        <w:t xml:space="preserve">) </w:t>
      </w:r>
      <w:r w:rsidRPr="00482F6C">
        <w:rPr>
          <w:rFonts w:cs="Arial"/>
          <w:bCs/>
          <w:szCs w:val="26"/>
        </w:rPr>
        <w:t xml:space="preserve">не предусмотрен  и отсутствует операционно-результатный и финансово-результатный учет по отдельным лицензионным </w:t>
      </w:r>
      <w:proofErr w:type="gramStart"/>
      <w:r w:rsidRPr="00482F6C">
        <w:rPr>
          <w:rFonts w:cs="Arial"/>
          <w:bCs/>
          <w:szCs w:val="26"/>
        </w:rPr>
        <w:t>участкам</w:t>
      </w:r>
      <w:proofErr w:type="gramEnd"/>
      <w:r w:rsidRPr="00482F6C">
        <w:rPr>
          <w:rFonts w:cs="Arial"/>
          <w:bCs/>
          <w:szCs w:val="26"/>
        </w:rPr>
        <w:t xml:space="preserve"> в отношении которых </w:t>
      </w:r>
      <w:r>
        <w:rPr>
          <w:rFonts w:cs="Arial"/>
          <w:bCs/>
          <w:szCs w:val="26"/>
        </w:rPr>
        <w:t>в настоящее время планируется применение</w:t>
      </w:r>
      <w:r w:rsidRPr="00482F6C">
        <w:rPr>
          <w:rFonts w:cs="Arial"/>
          <w:bCs/>
          <w:szCs w:val="26"/>
        </w:rPr>
        <w:t xml:space="preserve"> налогообложени</w:t>
      </w:r>
      <w:r>
        <w:rPr>
          <w:rFonts w:cs="Arial"/>
          <w:bCs/>
          <w:szCs w:val="26"/>
        </w:rPr>
        <w:t>я</w:t>
      </w:r>
      <w:r w:rsidRPr="00482F6C">
        <w:rPr>
          <w:rFonts w:cs="Arial"/>
          <w:bCs/>
          <w:szCs w:val="26"/>
        </w:rPr>
        <w:t xml:space="preserve"> НДД</w:t>
      </w:r>
      <w:r>
        <w:rPr>
          <w:rFonts w:cs="Arial"/>
          <w:bCs/>
          <w:szCs w:val="26"/>
        </w:rPr>
        <w:t>. С</w:t>
      </w:r>
      <w:r w:rsidRPr="0050533E">
        <w:rPr>
          <w:szCs w:val="26"/>
        </w:rPr>
        <w:t xml:space="preserve">огласно </w:t>
      </w:r>
      <w:hyperlink r:id="rId12" w:history="1">
        <w:r w:rsidRPr="005E7FDD">
          <w:rPr>
            <w:szCs w:val="26"/>
          </w:rPr>
          <w:t>пункту 79</w:t>
        </w:r>
      </w:hyperlink>
      <w:r w:rsidRPr="005E7FDD">
        <w:rPr>
          <w:szCs w:val="26"/>
        </w:rPr>
        <w:t xml:space="preserve"> Положения по ведению бухгалтерского учета и бухгалтерской отчетности в РФ (далее - Положение), утвержденного прик</w:t>
      </w:r>
      <w:r>
        <w:rPr>
          <w:szCs w:val="26"/>
        </w:rPr>
        <w:t>азом Минфина РФ от 29.07.98 №</w:t>
      </w:r>
      <w:r w:rsidRPr="005E7FDD">
        <w:rPr>
          <w:szCs w:val="26"/>
        </w:rPr>
        <w:t xml:space="preserve">34н,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баланса. </w:t>
      </w:r>
    </w:p>
    <w:p w:rsidR="00934D63" w:rsidRPr="0050533E" w:rsidRDefault="00934D63" w:rsidP="00934D63">
      <w:pPr>
        <w:tabs>
          <w:tab w:val="left" w:pos="567"/>
        </w:tabs>
        <w:ind w:firstLine="709"/>
        <w:jc w:val="both"/>
        <w:rPr>
          <w:rFonts w:eastAsia="Times New Roman" w:cs="Arial"/>
          <w:szCs w:val="26"/>
          <w:lang w:eastAsia="ru-RU"/>
        </w:rPr>
      </w:pPr>
      <w:r w:rsidRPr="00482F6C">
        <w:rPr>
          <w:rFonts w:cs="Arial"/>
          <w:bCs/>
          <w:szCs w:val="26"/>
        </w:rPr>
        <w:lastRenderedPageBreak/>
        <w:t xml:space="preserve">Вместе с тем </w:t>
      </w:r>
      <w:r w:rsidRPr="00482F6C">
        <w:rPr>
          <w:rFonts w:eastAsia="Times New Roman" w:cs="Arial"/>
          <w:szCs w:val="26"/>
          <w:lang w:eastAsia="ru-RU"/>
        </w:rPr>
        <w:t xml:space="preserve">НДД облагаются расчетные доходы от добычи углеводородного сырья, уменьшенные на совокупную величину фактических и расчетных </w:t>
      </w:r>
      <w:r w:rsidRPr="0050533E">
        <w:rPr>
          <w:rFonts w:eastAsia="Times New Roman" w:cs="Arial"/>
          <w:szCs w:val="26"/>
          <w:lang w:eastAsia="ru-RU"/>
        </w:rPr>
        <w:t xml:space="preserve">эксплуатационных и капитальных расходов по добыче углеводородного сырья на этом участке недр. </w:t>
      </w:r>
    </w:p>
    <w:p w:rsidR="00934D63" w:rsidRPr="0050533E" w:rsidRDefault="00934D63" w:rsidP="00934D63">
      <w:pPr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proofErr w:type="gramStart"/>
      <w:r>
        <w:rPr>
          <w:rFonts w:eastAsia="Times New Roman" w:cs="Arial"/>
          <w:szCs w:val="26"/>
          <w:lang w:eastAsia="ru-RU"/>
        </w:rPr>
        <w:t xml:space="preserve">Руководствуясь требованием </w:t>
      </w:r>
      <w:r>
        <w:rPr>
          <w:rFonts w:cs="Arial"/>
          <w:szCs w:val="26"/>
        </w:rPr>
        <w:t xml:space="preserve">рациональности, согласно которому </w:t>
      </w:r>
      <w:r w:rsidRPr="0050533E">
        <w:rPr>
          <w:rFonts w:cs="Arial"/>
          <w:szCs w:val="26"/>
        </w:rPr>
        <w:t>учетная политика организации должна обеспечивать в том числе рациональное ведение бухгалтерского учета, исходя из условий хозяйствования и величины организации, а также исходя из соотношения затрат на формирование информации о конкретном объекте бухгалтерского учета и полезности (ценности) этой информа</w:t>
      </w:r>
      <w:r>
        <w:rPr>
          <w:rFonts w:cs="Arial"/>
          <w:szCs w:val="26"/>
        </w:rPr>
        <w:t>ции (требование рациональности), организация не должна формировать в бухгалтерском учете информацию касающуюся определения,  признания, измерения, представления и раскрытия</w:t>
      </w:r>
      <w:proofErr w:type="gramEnd"/>
      <w:r>
        <w:rPr>
          <w:rFonts w:cs="Arial"/>
          <w:szCs w:val="26"/>
        </w:rPr>
        <w:t xml:space="preserve"> текущего и отложенного налога относящегося к НДД.</w:t>
      </w:r>
    </w:p>
    <w:p w:rsidR="00934D63" w:rsidRPr="0050533E" w:rsidRDefault="00934D63" w:rsidP="00934D63">
      <w:pPr>
        <w:tabs>
          <w:tab w:val="left" w:pos="567"/>
        </w:tabs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Обобщая изложенное, </w:t>
      </w:r>
      <w:proofErr w:type="gramStart"/>
      <w:r>
        <w:rPr>
          <w:rFonts w:cs="Arial"/>
          <w:szCs w:val="26"/>
        </w:rPr>
        <w:t>считаю</w:t>
      </w:r>
      <w:proofErr w:type="gramEnd"/>
      <w:r>
        <w:rPr>
          <w:rFonts w:cs="Arial"/>
          <w:szCs w:val="26"/>
        </w:rPr>
        <w:t xml:space="preserve"> д</w:t>
      </w:r>
      <w:r w:rsidRPr="0050533E">
        <w:rPr>
          <w:rFonts w:cs="Arial"/>
          <w:szCs w:val="26"/>
        </w:rPr>
        <w:t xml:space="preserve">ля целей бухгалтерского учета </w:t>
      </w:r>
      <w:r>
        <w:rPr>
          <w:rFonts w:cs="Arial"/>
          <w:szCs w:val="26"/>
        </w:rPr>
        <w:t xml:space="preserve">вновь вводимый НДД </w:t>
      </w:r>
      <w:r w:rsidRPr="0050533E">
        <w:rPr>
          <w:rFonts w:cs="Arial"/>
          <w:szCs w:val="26"/>
        </w:rPr>
        <w:t>следует отразить в порядке применимом для всех прочих налогов и сборов путем включения в расходы по обычным видам деятельности либо отнести на прочие расходы.</w:t>
      </w:r>
    </w:p>
    <w:p w:rsidR="00934D63" w:rsidRDefault="00934D63" w:rsidP="00934D63"/>
    <w:p w:rsidR="008430C6" w:rsidRPr="008D3599" w:rsidRDefault="008430C6" w:rsidP="00934D63">
      <w:pPr>
        <w:jc w:val="center"/>
        <w:rPr>
          <w:rFonts w:ascii="Times New Roman" w:hAnsi="Times New Roman"/>
          <w:sz w:val="28"/>
          <w:szCs w:val="28"/>
        </w:rPr>
      </w:pPr>
    </w:p>
    <w:sectPr w:rsidR="008430C6" w:rsidRPr="008D3599" w:rsidSect="00D50F0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9C" w:rsidRDefault="0079189C" w:rsidP="00CB6F33">
      <w:pPr>
        <w:spacing w:after="0" w:line="240" w:lineRule="auto"/>
      </w:pPr>
      <w:r>
        <w:separator/>
      </w:r>
    </w:p>
  </w:endnote>
  <w:endnote w:type="continuationSeparator" w:id="0">
    <w:p w:rsidR="0079189C" w:rsidRDefault="0079189C" w:rsidP="00CB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0259"/>
      <w:docPartObj>
        <w:docPartGallery w:val="Page Numbers (Bottom of Page)"/>
        <w:docPartUnique/>
      </w:docPartObj>
    </w:sdtPr>
    <w:sdtContent>
      <w:p w:rsidR="00CB6F33" w:rsidRDefault="00046987">
        <w:pPr>
          <w:pStyle w:val="a8"/>
          <w:jc w:val="right"/>
        </w:pPr>
        <w:r>
          <w:fldChar w:fldCharType="begin"/>
        </w:r>
        <w:r w:rsidR="00CB6F33">
          <w:instrText>PAGE   \* MERGEFORMAT</w:instrText>
        </w:r>
        <w:r>
          <w:fldChar w:fldCharType="separate"/>
        </w:r>
        <w:r w:rsidR="00091184">
          <w:rPr>
            <w:noProof/>
          </w:rPr>
          <w:t>1</w:t>
        </w:r>
        <w:r>
          <w:fldChar w:fldCharType="end"/>
        </w:r>
      </w:p>
    </w:sdtContent>
  </w:sdt>
  <w:p w:rsidR="00CB6F33" w:rsidRDefault="00CB6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9C" w:rsidRDefault="0079189C" w:rsidP="00CB6F33">
      <w:pPr>
        <w:spacing w:after="0" w:line="240" w:lineRule="auto"/>
      </w:pPr>
      <w:r>
        <w:separator/>
      </w:r>
    </w:p>
  </w:footnote>
  <w:footnote w:type="continuationSeparator" w:id="0">
    <w:p w:rsidR="0079189C" w:rsidRDefault="0079189C" w:rsidP="00CB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86" w:rsidRDefault="00A05986">
    <w:pPr>
      <w:pStyle w:val="a6"/>
    </w:pPr>
    <w:r w:rsidRPr="00A05986">
      <w:rPr>
        <w:noProof/>
        <w:lang w:eastAsia="ru-RU"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9E1"/>
    <w:multiLevelType w:val="hybridMultilevel"/>
    <w:tmpl w:val="E052598A"/>
    <w:lvl w:ilvl="0" w:tplc="D474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07C6F"/>
    <w:multiLevelType w:val="hybridMultilevel"/>
    <w:tmpl w:val="471ECEF4"/>
    <w:lvl w:ilvl="0" w:tplc="089C8D3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AA4"/>
    <w:multiLevelType w:val="hybridMultilevel"/>
    <w:tmpl w:val="D73005FE"/>
    <w:lvl w:ilvl="0" w:tplc="E7D46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CA1"/>
    <w:multiLevelType w:val="multilevel"/>
    <w:tmpl w:val="018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E6359"/>
    <w:multiLevelType w:val="multilevel"/>
    <w:tmpl w:val="2F6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C27"/>
    <w:multiLevelType w:val="hybridMultilevel"/>
    <w:tmpl w:val="A900DD1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1783EF5"/>
    <w:multiLevelType w:val="hybridMultilevel"/>
    <w:tmpl w:val="B3287A1E"/>
    <w:lvl w:ilvl="0" w:tplc="324CD724">
      <w:start w:val="1"/>
      <w:numFmt w:val="decimal"/>
      <w:lvlText w:val="%1."/>
      <w:lvlJc w:val="left"/>
      <w:pPr>
        <w:ind w:left="107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24E33D5"/>
    <w:multiLevelType w:val="hybridMultilevel"/>
    <w:tmpl w:val="8EA28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4C5297"/>
    <w:multiLevelType w:val="hybridMultilevel"/>
    <w:tmpl w:val="C3AC4518"/>
    <w:lvl w:ilvl="0" w:tplc="1F88296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3D45"/>
    <w:multiLevelType w:val="hybridMultilevel"/>
    <w:tmpl w:val="07A8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E74"/>
    <w:multiLevelType w:val="hybridMultilevel"/>
    <w:tmpl w:val="64EC4884"/>
    <w:lvl w:ilvl="0" w:tplc="488CA92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632133"/>
    <w:multiLevelType w:val="hybridMultilevel"/>
    <w:tmpl w:val="AA46F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CF4EFA"/>
    <w:multiLevelType w:val="multilevel"/>
    <w:tmpl w:val="2CE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17DA8"/>
    <w:multiLevelType w:val="hybridMultilevel"/>
    <w:tmpl w:val="C1A0A5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7646E5A"/>
    <w:multiLevelType w:val="hybridMultilevel"/>
    <w:tmpl w:val="7DAEF170"/>
    <w:lvl w:ilvl="0" w:tplc="0419000F">
      <w:start w:val="1"/>
      <w:numFmt w:val="decimal"/>
      <w:lvlText w:val="%1."/>
      <w:lvlJc w:val="left"/>
      <w:pPr>
        <w:ind w:left="107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04F4DFA"/>
    <w:multiLevelType w:val="hybridMultilevel"/>
    <w:tmpl w:val="6C8CC75E"/>
    <w:lvl w:ilvl="0" w:tplc="B43AA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2F361D"/>
    <w:multiLevelType w:val="hybridMultilevel"/>
    <w:tmpl w:val="F2402A54"/>
    <w:lvl w:ilvl="0" w:tplc="6A8E3BB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2D"/>
    <w:rsid w:val="00016248"/>
    <w:rsid w:val="00030861"/>
    <w:rsid w:val="0004584A"/>
    <w:rsid w:val="00046987"/>
    <w:rsid w:val="00072B29"/>
    <w:rsid w:val="000736BC"/>
    <w:rsid w:val="00083AAC"/>
    <w:rsid w:val="00091184"/>
    <w:rsid w:val="00097235"/>
    <w:rsid w:val="000A377F"/>
    <w:rsid w:val="000B4D67"/>
    <w:rsid w:val="000C2EBD"/>
    <w:rsid w:val="000C357B"/>
    <w:rsid w:val="000D11D2"/>
    <w:rsid w:val="000D4E7B"/>
    <w:rsid w:val="000F0959"/>
    <w:rsid w:val="000F4188"/>
    <w:rsid w:val="000F4555"/>
    <w:rsid w:val="00105072"/>
    <w:rsid w:val="00106DE8"/>
    <w:rsid w:val="001307C9"/>
    <w:rsid w:val="00130E7F"/>
    <w:rsid w:val="001329AA"/>
    <w:rsid w:val="001356EA"/>
    <w:rsid w:val="00155430"/>
    <w:rsid w:val="00161D6B"/>
    <w:rsid w:val="00174159"/>
    <w:rsid w:val="00184D94"/>
    <w:rsid w:val="001943F2"/>
    <w:rsid w:val="00197CF2"/>
    <w:rsid w:val="001E019E"/>
    <w:rsid w:val="001E482D"/>
    <w:rsid w:val="001E5818"/>
    <w:rsid w:val="0023218D"/>
    <w:rsid w:val="00237984"/>
    <w:rsid w:val="002514E8"/>
    <w:rsid w:val="00251505"/>
    <w:rsid w:val="00264650"/>
    <w:rsid w:val="00264EE1"/>
    <w:rsid w:val="002658A5"/>
    <w:rsid w:val="00282DEF"/>
    <w:rsid w:val="00287360"/>
    <w:rsid w:val="002C6FA5"/>
    <w:rsid w:val="002E5268"/>
    <w:rsid w:val="003430B1"/>
    <w:rsid w:val="00373CC8"/>
    <w:rsid w:val="00377696"/>
    <w:rsid w:val="003812EB"/>
    <w:rsid w:val="003864BE"/>
    <w:rsid w:val="003B27A1"/>
    <w:rsid w:val="003B57D6"/>
    <w:rsid w:val="003D74EC"/>
    <w:rsid w:val="00423A00"/>
    <w:rsid w:val="00440268"/>
    <w:rsid w:val="0044782F"/>
    <w:rsid w:val="00471622"/>
    <w:rsid w:val="00495E34"/>
    <w:rsid w:val="004A0267"/>
    <w:rsid w:val="004A033C"/>
    <w:rsid w:val="004B143E"/>
    <w:rsid w:val="004B296D"/>
    <w:rsid w:val="004B30CE"/>
    <w:rsid w:val="004C1A9A"/>
    <w:rsid w:val="004C4318"/>
    <w:rsid w:val="00510187"/>
    <w:rsid w:val="00510C08"/>
    <w:rsid w:val="005244DD"/>
    <w:rsid w:val="00537566"/>
    <w:rsid w:val="00553266"/>
    <w:rsid w:val="00563A04"/>
    <w:rsid w:val="00575CB6"/>
    <w:rsid w:val="00594851"/>
    <w:rsid w:val="0059588B"/>
    <w:rsid w:val="005C66CC"/>
    <w:rsid w:val="005F118D"/>
    <w:rsid w:val="005F2297"/>
    <w:rsid w:val="006055BF"/>
    <w:rsid w:val="00615917"/>
    <w:rsid w:val="00616DE3"/>
    <w:rsid w:val="0062386F"/>
    <w:rsid w:val="00634050"/>
    <w:rsid w:val="00640E52"/>
    <w:rsid w:val="00644B2D"/>
    <w:rsid w:val="0067773E"/>
    <w:rsid w:val="00690226"/>
    <w:rsid w:val="00694382"/>
    <w:rsid w:val="006B15F7"/>
    <w:rsid w:val="006B5C98"/>
    <w:rsid w:val="006C540B"/>
    <w:rsid w:val="006C718D"/>
    <w:rsid w:val="006F4814"/>
    <w:rsid w:val="0070093F"/>
    <w:rsid w:val="007034EF"/>
    <w:rsid w:val="00707E86"/>
    <w:rsid w:val="00710658"/>
    <w:rsid w:val="007110AE"/>
    <w:rsid w:val="0072420B"/>
    <w:rsid w:val="00741628"/>
    <w:rsid w:val="00751E4E"/>
    <w:rsid w:val="00754715"/>
    <w:rsid w:val="00756B26"/>
    <w:rsid w:val="0076744F"/>
    <w:rsid w:val="00783934"/>
    <w:rsid w:val="0079189C"/>
    <w:rsid w:val="007A08BA"/>
    <w:rsid w:val="007A1F66"/>
    <w:rsid w:val="007A3B73"/>
    <w:rsid w:val="007C10BA"/>
    <w:rsid w:val="007C7CBD"/>
    <w:rsid w:val="007D4E06"/>
    <w:rsid w:val="007E297E"/>
    <w:rsid w:val="007E5442"/>
    <w:rsid w:val="007F405D"/>
    <w:rsid w:val="00801407"/>
    <w:rsid w:val="00817DE2"/>
    <w:rsid w:val="008221DD"/>
    <w:rsid w:val="00822556"/>
    <w:rsid w:val="00831015"/>
    <w:rsid w:val="008430C6"/>
    <w:rsid w:val="00845381"/>
    <w:rsid w:val="00850694"/>
    <w:rsid w:val="0085592E"/>
    <w:rsid w:val="00874C3A"/>
    <w:rsid w:val="00875B11"/>
    <w:rsid w:val="008B6C7F"/>
    <w:rsid w:val="008C4711"/>
    <w:rsid w:val="008D3599"/>
    <w:rsid w:val="008D495F"/>
    <w:rsid w:val="008D4F1A"/>
    <w:rsid w:val="00904AA6"/>
    <w:rsid w:val="009075C7"/>
    <w:rsid w:val="00934D63"/>
    <w:rsid w:val="00940471"/>
    <w:rsid w:val="0094342A"/>
    <w:rsid w:val="00944013"/>
    <w:rsid w:val="0094620D"/>
    <w:rsid w:val="00953073"/>
    <w:rsid w:val="009636B0"/>
    <w:rsid w:val="00971FCB"/>
    <w:rsid w:val="009769AE"/>
    <w:rsid w:val="009905DB"/>
    <w:rsid w:val="009946BD"/>
    <w:rsid w:val="009A48D8"/>
    <w:rsid w:val="009A6CD6"/>
    <w:rsid w:val="009B554A"/>
    <w:rsid w:val="009B74B2"/>
    <w:rsid w:val="009C1DB1"/>
    <w:rsid w:val="00A05986"/>
    <w:rsid w:val="00A22B80"/>
    <w:rsid w:val="00A71A3A"/>
    <w:rsid w:val="00A76814"/>
    <w:rsid w:val="00A90324"/>
    <w:rsid w:val="00A929D4"/>
    <w:rsid w:val="00A9407B"/>
    <w:rsid w:val="00AA2BE5"/>
    <w:rsid w:val="00AB787F"/>
    <w:rsid w:val="00AC30D9"/>
    <w:rsid w:val="00B025E1"/>
    <w:rsid w:val="00B06FE4"/>
    <w:rsid w:val="00B10DE4"/>
    <w:rsid w:val="00B16384"/>
    <w:rsid w:val="00B262E4"/>
    <w:rsid w:val="00B3357F"/>
    <w:rsid w:val="00B461C0"/>
    <w:rsid w:val="00B63E0F"/>
    <w:rsid w:val="00B67333"/>
    <w:rsid w:val="00B72FBC"/>
    <w:rsid w:val="00B75F6D"/>
    <w:rsid w:val="00B86C37"/>
    <w:rsid w:val="00B906FD"/>
    <w:rsid w:val="00BA1018"/>
    <w:rsid w:val="00BA1098"/>
    <w:rsid w:val="00BB19B7"/>
    <w:rsid w:val="00BB5A75"/>
    <w:rsid w:val="00BC7B17"/>
    <w:rsid w:val="00BE0A9E"/>
    <w:rsid w:val="00C04A3C"/>
    <w:rsid w:val="00C1434B"/>
    <w:rsid w:val="00C163F5"/>
    <w:rsid w:val="00C215E8"/>
    <w:rsid w:val="00C3288F"/>
    <w:rsid w:val="00C3371D"/>
    <w:rsid w:val="00C343AD"/>
    <w:rsid w:val="00C56D6A"/>
    <w:rsid w:val="00C60E7B"/>
    <w:rsid w:val="00C74561"/>
    <w:rsid w:val="00C869FC"/>
    <w:rsid w:val="00C92BA2"/>
    <w:rsid w:val="00CA737F"/>
    <w:rsid w:val="00CB6F33"/>
    <w:rsid w:val="00CB7807"/>
    <w:rsid w:val="00CD7A2B"/>
    <w:rsid w:val="00CE3F76"/>
    <w:rsid w:val="00CE7FDE"/>
    <w:rsid w:val="00D0187C"/>
    <w:rsid w:val="00D04E7F"/>
    <w:rsid w:val="00D26D88"/>
    <w:rsid w:val="00D311CE"/>
    <w:rsid w:val="00D436AA"/>
    <w:rsid w:val="00D50F0D"/>
    <w:rsid w:val="00D537A6"/>
    <w:rsid w:val="00D6647E"/>
    <w:rsid w:val="00D83056"/>
    <w:rsid w:val="00D919DA"/>
    <w:rsid w:val="00D92004"/>
    <w:rsid w:val="00D92715"/>
    <w:rsid w:val="00DA7A21"/>
    <w:rsid w:val="00DC5F96"/>
    <w:rsid w:val="00DC7B24"/>
    <w:rsid w:val="00DD6E2F"/>
    <w:rsid w:val="00E12CF8"/>
    <w:rsid w:val="00E20374"/>
    <w:rsid w:val="00E22A63"/>
    <w:rsid w:val="00E32969"/>
    <w:rsid w:val="00E4259D"/>
    <w:rsid w:val="00E44637"/>
    <w:rsid w:val="00E5628A"/>
    <w:rsid w:val="00E91E20"/>
    <w:rsid w:val="00EB6F3E"/>
    <w:rsid w:val="00EC2BCA"/>
    <w:rsid w:val="00EC5052"/>
    <w:rsid w:val="00ED5B0E"/>
    <w:rsid w:val="00EE3356"/>
    <w:rsid w:val="00EF6DDC"/>
    <w:rsid w:val="00F00E85"/>
    <w:rsid w:val="00F20315"/>
    <w:rsid w:val="00F310ED"/>
    <w:rsid w:val="00F431F8"/>
    <w:rsid w:val="00F4321F"/>
    <w:rsid w:val="00F678A8"/>
    <w:rsid w:val="00F71BBE"/>
    <w:rsid w:val="00FA5AA8"/>
    <w:rsid w:val="00FD38C1"/>
    <w:rsid w:val="00FD7ABC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0D"/>
  </w:style>
  <w:style w:type="paragraph" w:styleId="1">
    <w:name w:val="heading 1"/>
    <w:basedOn w:val="a"/>
    <w:next w:val="a"/>
    <w:link w:val="10"/>
    <w:uiPriority w:val="9"/>
    <w:qFormat/>
    <w:rsid w:val="00B72FB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E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2D"/>
    <w:rPr>
      <w:b/>
      <w:bCs/>
    </w:rPr>
  </w:style>
  <w:style w:type="paragraph" w:styleId="a5">
    <w:name w:val="List Paragraph"/>
    <w:basedOn w:val="a"/>
    <w:uiPriority w:val="34"/>
    <w:qFormat/>
    <w:rsid w:val="00C215E8"/>
    <w:pPr>
      <w:ind w:left="720"/>
      <w:contextualSpacing/>
    </w:pPr>
  </w:style>
  <w:style w:type="paragraph" w:customStyle="1" w:styleId="s06-">
    <w:name w:val="s06 Список -"/>
    <w:basedOn w:val="a"/>
    <w:link w:val="s06-0"/>
    <w:rsid w:val="004A0267"/>
    <w:pPr>
      <w:keepNext/>
      <w:widowControl w:val="0"/>
      <w:numPr>
        <w:numId w:val="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6-0">
    <w:name w:val="s06 Список - Знак"/>
    <w:link w:val="s06-"/>
    <w:rsid w:val="004A0267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CB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F33"/>
  </w:style>
  <w:style w:type="paragraph" w:styleId="a8">
    <w:name w:val="footer"/>
    <w:basedOn w:val="a"/>
    <w:link w:val="a9"/>
    <w:uiPriority w:val="99"/>
    <w:unhideWhenUsed/>
    <w:rsid w:val="00CB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F33"/>
  </w:style>
  <w:style w:type="table" w:styleId="aa">
    <w:name w:val="Table Grid"/>
    <w:basedOn w:val="a1"/>
    <w:uiPriority w:val="59"/>
    <w:rsid w:val="00FD7A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99"/>
    <w:qFormat/>
    <w:rsid w:val="00FD7ABC"/>
    <w:pPr>
      <w:keepNext/>
      <w:keepLines/>
      <w:numPr>
        <w:ilvl w:val="1"/>
      </w:numPr>
      <w:spacing w:before="240" w:after="0" w:line="276" w:lineRule="auto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FD7AB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98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92BA2"/>
    <w:rPr>
      <w:color w:val="0000FF"/>
      <w:u w:val="single"/>
    </w:rPr>
  </w:style>
  <w:style w:type="paragraph" w:customStyle="1" w:styleId="ConsPlusNormal">
    <w:name w:val="ConsPlusNormal"/>
    <w:basedOn w:val="a"/>
    <w:rsid w:val="00C92BA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10D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-OK_NG_Dorazved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mcenter.ru/Files/R-OK_NG_Dorazvedka" TargetMode="External"/><Relationship Id="rId12" Type="http://schemas.openxmlformats.org/officeDocument/2006/relationships/hyperlink" Target="consultantplus://offline/ref=38D8903531A60845384DD1FF3CD5F19B482F35815E6A289E8E6E94D80E1BCD8917DDAA14C8B64355D0s6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CF6E60ED9CAC5C67F2CD6D886D0F22E676FCCC675EB0B987F35EA7E4A956E8442417B5628D00b9iE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mcenter.ru/Files/R-OK_NG_Nalog_na_dopolnitelniy_do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center.ru/Files/R-OK_NG_Nalog_na_dopolnitelniy_doho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dcterms:created xsi:type="dcterms:W3CDTF">2018-11-13T09:20:00Z</dcterms:created>
  <dcterms:modified xsi:type="dcterms:W3CDTF">2018-11-13T09:33:00Z</dcterms:modified>
</cp:coreProperties>
</file>