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B6" w:rsidRPr="000C312F" w:rsidRDefault="00B075B6" w:rsidP="00B075B6">
      <w:pPr>
        <w:rPr>
          <w:rFonts w:eastAsiaTheme="majorEastAsia"/>
          <w:b/>
          <w:iCs/>
          <w:color w:val="006666"/>
          <w:spacing w:val="20"/>
          <w:sz w:val="20"/>
        </w:rPr>
      </w:pPr>
      <w:r w:rsidRPr="000C312F">
        <w:rPr>
          <w:rFonts w:eastAsiaTheme="majorEastAsia"/>
          <w:b/>
          <w:iCs/>
          <w:color w:val="006666"/>
          <w:spacing w:val="20"/>
          <w:sz w:val="20"/>
        </w:rPr>
        <w:t>ФОНД «НАЦИОНАЛЬНЫЙ НЕГОСУДАРСТВЕННЫЙ</w:t>
      </w:r>
    </w:p>
    <w:p w:rsidR="00B075B6" w:rsidRPr="000C312F" w:rsidRDefault="00B075B6" w:rsidP="00B075B6">
      <w:pPr>
        <w:rPr>
          <w:rFonts w:eastAsiaTheme="majorEastAsia"/>
          <w:b/>
          <w:iCs/>
          <w:color w:val="006666"/>
          <w:spacing w:val="20"/>
          <w:sz w:val="20"/>
        </w:rPr>
      </w:pPr>
      <w:r w:rsidRPr="000C312F">
        <w:rPr>
          <w:rFonts w:eastAsiaTheme="majorEastAsia"/>
          <w:b/>
          <w:iCs/>
          <w:color w:val="006666"/>
          <w:spacing w:val="20"/>
          <w:sz w:val="20"/>
        </w:rPr>
        <w:t>РЕГУЛЯТОР  БУХГАЛТЕРСКОГО  УЧЕТА</w:t>
      </w:r>
    </w:p>
    <w:p w:rsidR="00B075B6" w:rsidRPr="000C312F" w:rsidRDefault="00B075B6" w:rsidP="00B075B6">
      <w:pPr>
        <w:rPr>
          <w:rFonts w:eastAsiaTheme="majorEastAsia"/>
          <w:b/>
          <w:iCs/>
          <w:color w:val="006666"/>
          <w:spacing w:val="20"/>
          <w:sz w:val="20"/>
        </w:rPr>
      </w:pPr>
      <w:r w:rsidRPr="000C312F">
        <w:rPr>
          <w:rFonts w:eastAsiaTheme="majorEastAsia"/>
          <w:b/>
          <w:iCs/>
          <w:color w:val="006666"/>
          <w:spacing w:val="20"/>
          <w:sz w:val="20"/>
        </w:rPr>
        <w:t>«БУХГАЛТЕРСКИЙ МЕТОДОЛОГИЧЕСКИЙ ЦЕНТР»</w:t>
      </w:r>
    </w:p>
    <w:p w:rsidR="00B075B6" w:rsidRPr="00F928AF" w:rsidRDefault="00B075B6" w:rsidP="00B075B6">
      <w:r w:rsidRPr="000C312F">
        <w:rPr>
          <w:rFonts w:eastAsiaTheme="majorEastAsia"/>
          <w:b/>
          <w:iCs/>
          <w:color w:val="006666"/>
          <w:spacing w:val="20"/>
          <w:sz w:val="20"/>
        </w:rPr>
        <w:t>(ФОНД «НРБУ «БМЦ»)</w:t>
      </w:r>
    </w:p>
    <w:p w:rsidR="008E46F7" w:rsidRDefault="00446B3B" w:rsidP="00A84301">
      <w:pPr>
        <w:jc w:val="right"/>
        <w:rPr>
          <w:rFonts w:eastAsiaTheme="majorEastAsia"/>
          <w:b/>
          <w:bCs/>
          <w:color w:val="C00000"/>
          <w:spacing w:val="20"/>
          <w:lang w:eastAsia="en-US"/>
        </w:rPr>
      </w:pPr>
      <w:r>
        <w:rPr>
          <w:rFonts w:eastAsiaTheme="majorEastAsia"/>
          <w:b/>
          <w:bCs/>
          <w:color w:val="C00000"/>
          <w:spacing w:val="20"/>
          <w:lang w:eastAsia="en-US"/>
        </w:rPr>
        <w:t xml:space="preserve"> </w:t>
      </w:r>
      <w:bookmarkStart w:id="0" w:name="_GoBack"/>
      <w:bookmarkEnd w:id="0"/>
    </w:p>
    <w:p w:rsidR="008E46F7" w:rsidRPr="00B075B6" w:rsidRDefault="008E46F7" w:rsidP="00B075B6">
      <w:pPr>
        <w:spacing w:line="276" w:lineRule="auto"/>
        <w:jc w:val="center"/>
        <w:rPr>
          <w:rFonts w:ascii="Calibri" w:hAnsi="Calibri" w:cstheme="minorBidi"/>
          <w:b/>
          <w:bCs/>
          <w:color w:val="006666"/>
          <w:spacing w:val="20"/>
        </w:rPr>
      </w:pPr>
      <w:r w:rsidRPr="00B075B6">
        <w:rPr>
          <w:rFonts w:ascii="Calibri" w:hAnsi="Calibri" w:cstheme="minorBidi"/>
          <w:b/>
          <w:bCs/>
          <w:color w:val="006666"/>
          <w:spacing w:val="20"/>
        </w:rPr>
        <w:t>ЗАМЕЧАНИЯ К ПРОЕКТУ ФСБУ «НЕЗАВЕРШЕННЫЕ КАПИТАЛЬНЫЕ ВЛОЖЕНИЯ»</w:t>
      </w:r>
    </w:p>
    <w:p w:rsidR="008E46F7" w:rsidRPr="008E46F7" w:rsidRDefault="008E46F7" w:rsidP="00B075B6">
      <w:pPr>
        <w:spacing w:line="276" w:lineRule="auto"/>
        <w:jc w:val="center"/>
        <w:rPr>
          <w:rFonts w:cstheme="minorBidi"/>
        </w:rPr>
      </w:pPr>
      <w:r w:rsidRPr="00B075B6">
        <w:rPr>
          <w:rFonts w:ascii="Calibri" w:hAnsi="Calibri" w:cstheme="minorBidi"/>
          <w:b/>
          <w:bCs/>
          <w:color w:val="006666"/>
          <w:spacing w:val="20"/>
        </w:rPr>
        <w:t>ПОЛУЧЕННЫЕ</w:t>
      </w:r>
      <w:r w:rsidRPr="00262EAA">
        <w:rPr>
          <w:rFonts w:eastAsiaTheme="majorEastAsia"/>
          <w:b/>
          <w:bCs/>
          <w:color w:val="C00000"/>
          <w:spacing w:val="20"/>
          <w:lang w:eastAsia="en-US"/>
        </w:rPr>
        <w:t xml:space="preserve"> ОТ </w:t>
      </w:r>
      <w:r>
        <w:rPr>
          <w:rFonts w:eastAsiaTheme="majorEastAsia"/>
          <w:b/>
          <w:bCs/>
          <w:color w:val="C00000"/>
          <w:spacing w:val="20"/>
          <w:lang w:eastAsia="en-US"/>
        </w:rPr>
        <w:t>П</w:t>
      </w:r>
      <w:r w:rsidRPr="00262EAA">
        <w:rPr>
          <w:rFonts w:eastAsiaTheme="majorEastAsia"/>
          <w:b/>
          <w:bCs/>
          <w:color w:val="C00000"/>
          <w:spacing w:val="20"/>
          <w:lang w:eastAsia="en-US"/>
        </w:rPr>
        <w:t>АО «</w:t>
      </w:r>
      <w:r>
        <w:rPr>
          <w:rFonts w:eastAsiaTheme="majorEastAsia"/>
          <w:b/>
          <w:bCs/>
          <w:color w:val="C00000"/>
          <w:spacing w:val="20"/>
          <w:lang w:eastAsia="en-US"/>
        </w:rPr>
        <w:t>НК «РОСНЕФТЬ</w:t>
      </w:r>
      <w:r w:rsidRPr="00262EAA">
        <w:rPr>
          <w:rFonts w:eastAsiaTheme="majorEastAsia"/>
          <w:b/>
          <w:bCs/>
          <w:color w:val="C00000"/>
          <w:spacing w:val="20"/>
          <w:lang w:eastAsia="en-US"/>
        </w:rPr>
        <w:t>»</w:t>
      </w:r>
      <w:r w:rsidR="00B075B6">
        <w:rPr>
          <w:rFonts w:eastAsiaTheme="majorEastAsia"/>
          <w:b/>
          <w:bCs/>
          <w:color w:val="C00000"/>
          <w:spacing w:val="20"/>
          <w:lang w:eastAsia="en-US"/>
        </w:rPr>
        <w:t xml:space="preserve"> </w:t>
      </w:r>
      <w:r w:rsidR="00B075B6" w:rsidRPr="000B5105">
        <w:rPr>
          <w:rFonts w:ascii="Calibri" w:hAnsi="Calibri"/>
          <w:b/>
          <w:bCs/>
          <w:color w:val="006666"/>
          <w:spacing w:val="20"/>
        </w:rPr>
        <w:t>И РЕЗУЛЬТАТЫ ОБСУЖДЕНИЯ</w:t>
      </w:r>
    </w:p>
    <w:p w:rsidR="008E46F7" w:rsidRDefault="008E46F7" w:rsidP="00324687">
      <w:pPr>
        <w:spacing w:line="276" w:lineRule="auto"/>
        <w:jc w:val="right"/>
        <w:rPr>
          <w:rFonts w:ascii="Calibri" w:eastAsia="Calibri" w:hAnsi="Calibri"/>
          <w:b/>
          <w:bCs/>
          <w:color w:val="006666"/>
          <w:spacing w:val="20"/>
          <w:sz w:val="28"/>
          <w:szCs w:val="28"/>
        </w:rPr>
      </w:pPr>
    </w:p>
    <w:tbl>
      <w:tblPr>
        <w:tblW w:w="15765" w:type="dxa"/>
        <w:tblCellMar>
          <w:left w:w="57" w:type="dxa"/>
          <w:right w:w="57" w:type="dxa"/>
        </w:tblCellMar>
        <w:tblLook w:val="04A0"/>
      </w:tblPr>
      <w:tblGrid>
        <w:gridCol w:w="421"/>
        <w:gridCol w:w="1088"/>
        <w:gridCol w:w="3594"/>
        <w:gridCol w:w="4850"/>
        <w:gridCol w:w="2835"/>
        <w:gridCol w:w="2977"/>
      </w:tblGrid>
      <w:tr w:rsidR="00A64D88" w:rsidRPr="002D5CED" w:rsidTr="00B12E8F">
        <w:tc>
          <w:tcPr>
            <w:tcW w:w="4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4D88" w:rsidRPr="002D5CED" w:rsidRDefault="00A64D88" w:rsidP="005436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5CED"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D5CED">
              <w:rPr>
                <w:rFonts w:eastAsia="Times New Roman"/>
                <w:b/>
                <w:color w:val="000000"/>
              </w:rPr>
              <w:t>п</w:t>
            </w:r>
            <w:proofErr w:type="spellEnd"/>
            <w:proofErr w:type="gramEnd"/>
            <w:r w:rsidRPr="002D5CED">
              <w:rPr>
                <w:rFonts w:eastAsia="Times New Roman"/>
                <w:b/>
                <w:color w:val="000000"/>
              </w:rPr>
              <w:t>/</w:t>
            </w:r>
            <w:proofErr w:type="spellStart"/>
            <w:r w:rsidRPr="002D5CED">
              <w:rPr>
                <w:rFonts w:eastAsia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4D88" w:rsidRPr="002D5CED" w:rsidRDefault="00A64D88" w:rsidP="005F543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5CED">
              <w:rPr>
                <w:rFonts w:eastAsia="Times New Roman"/>
                <w:b/>
                <w:color w:val="000000"/>
              </w:rPr>
              <w:t>Пункт (абзац, раздел)</w:t>
            </w:r>
          </w:p>
        </w:tc>
        <w:tc>
          <w:tcPr>
            <w:tcW w:w="35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09A" w:rsidRDefault="0051609A" w:rsidP="005F543A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64D88" w:rsidRPr="002D5CED" w:rsidRDefault="00A64D88" w:rsidP="005F543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5CED">
              <w:rPr>
                <w:rFonts w:eastAsia="Times New Roman"/>
                <w:b/>
                <w:color w:val="000000"/>
              </w:rPr>
              <w:t>Имеющаяся редакция</w:t>
            </w:r>
          </w:p>
        </w:tc>
        <w:tc>
          <w:tcPr>
            <w:tcW w:w="48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09A" w:rsidRDefault="0051609A" w:rsidP="005F543A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64D88" w:rsidRPr="002D5CED" w:rsidRDefault="00A64D88" w:rsidP="005F543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5CED">
              <w:rPr>
                <w:rFonts w:eastAsia="Times New Roman"/>
                <w:b/>
                <w:color w:val="000000"/>
              </w:rPr>
              <w:t>Предлагаемая редакция</w:t>
            </w: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4D88" w:rsidRPr="002D5CED" w:rsidRDefault="00A64D88" w:rsidP="005F543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5CED">
              <w:rPr>
                <w:rFonts w:eastAsia="Times New Roman"/>
                <w:b/>
                <w:color w:val="000000"/>
              </w:rPr>
              <w:t>Обоснование и комментарии</w:t>
            </w:r>
          </w:p>
        </w:tc>
        <w:tc>
          <w:tcPr>
            <w:tcW w:w="29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51609A" w:rsidRPr="0051609A" w:rsidRDefault="0051609A" w:rsidP="005F543A">
            <w:pPr>
              <w:jc w:val="center"/>
              <w:rPr>
                <w:rFonts w:ascii="Arial Narrow" w:eastAsia="Times New Roman" w:hAnsi="Arial Narrow"/>
                <w:b/>
                <w:color w:val="0070C0"/>
              </w:rPr>
            </w:pPr>
          </w:p>
          <w:p w:rsidR="00A64D88" w:rsidRPr="0051609A" w:rsidRDefault="00A64D88" w:rsidP="005F543A">
            <w:pPr>
              <w:jc w:val="center"/>
              <w:rPr>
                <w:rFonts w:ascii="Arial Narrow" w:eastAsia="Times New Roman" w:hAnsi="Arial Narrow"/>
                <w:b/>
                <w:color w:val="0070C0"/>
              </w:rPr>
            </w:pPr>
            <w:r w:rsidRPr="0051609A">
              <w:rPr>
                <w:rFonts w:ascii="Arial Narrow" w:eastAsia="Times New Roman" w:hAnsi="Arial Narrow"/>
                <w:b/>
                <w:color w:val="0070C0"/>
              </w:rPr>
              <w:t>Результаты обсуждения</w:t>
            </w:r>
          </w:p>
        </w:tc>
      </w:tr>
      <w:tr w:rsidR="00A64D88" w:rsidRPr="002D5CED" w:rsidTr="00B12E8F">
        <w:tc>
          <w:tcPr>
            <w:tcW w:w="4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4D88" w:rsidRPr="002D5CED" w:rsidRDefault="00A64D88" w:rsidP="0054366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4D88" w:rsidRPr="00BD0E9E" w:rsidRDefault="00A64D88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4D88" w:rsidRPr="00A87E6E" w:rsidRDefault="00A64D88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Новый п. после п.5</w:t>
            </w:r>
          </w:p>
        </w:tc>
        <w:tc>
          <w:tcPr>
            <w:tcW w:w="48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4D88" w:rsidRPr="00C00A1C" w:rsidRDefault="00A64D88" w:rsidP="005F543A">
            <w:pPr>
              <w:rPr>
                <w:rFonts w:eastAsia="Times New Roman"/>
                <w:color w:val="000000"/>
              </w:rPr>
            </w:pPr>
            <w:r w:rsidRPr="00015147">
              <w:rPr>
                <w:rFonts w:eastAsia="Times New Roman"/>
                <w:color w:val="000000"/>
              </w:rPr>
              <w:t>Организация должна оценивать все свои затраты, относящиеся к основным средствам, руководствуясь</w:t>
            </w:r>
            <w:r>
              <w:rPr>
                <w:rFonts w:eastAsia="Times New Roman"/>
                <w:color w:val="000000"/>
              </w:rPr>
              <w:t xml:space="preserve"> условиями</w:t>
            </w:r>
            <w:r w:rsidRPr="00015147">
              <w:rPr>
                <w:rFonts w:eastAsia="Times New Roman"/>
                <w:color w:val="000000"/>
              </w:rPr>
              <w:t xml:space="preserve"> признания</w:t>
            </w:r>
            <w:r>
              <w:rPr>
                <w:rFonts w:eastAsia="Times New Roman"/>
                <w:color w:val="000000"/>
              </w:rPr>
              <w:t xml:space="preserve"> п.5</w:t>
            </w:r>
            <w:r w:rsidRPr="00015147">
              <w:rPr>
                <w:rFonts w:eastAsia="Times New Roman"/>
                <w:color w:val="000000"/>
              </w:rPr>
              <w:t>, по мере возникновения таких затрат. Такие затраты включают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15147">
              <w:rPr>
                <w:rFonts w:eastAsia="Times New Roman"/>
                <w:color w:val="000000"/>
              </w:rPr>
              <w:t>затраты, понесенные первоначально в связи с приобретением или строительством объекта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внеоборотных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материальных активов</w:t>
            </w:r>
            <w:r w:rsidRPr="00015147">
              <w:rPr>
                <w:rFonts w:eastAsia="Times New Roman"/>
                <w:color w:val="000000"/>
              </w:rPr>
              <w:t xml:space="preserve">, а также затраты, понесенные впоследствии в связи с </w:t>
            </w:r>
            <w:r>
              <w:rPr>
                <w:rFonts w:eastAsia="Times New Roman"/>
                <w:color w:val="000000"/>
              </w:rPr>
              <w:t>улучшением</w:t>
            </w:r>
            <w:r w:rsidRPr="00015147">
              <w:rPr>
                <w:rFonts w:eastAsia="Times New Roman"/>
                <w:color w:val="000000"/>
              </w:rPr>
              <w:t>, частичным замещением или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15147">
              <w:rPr>
                <w:rFonts w:eastAsia="Times New Roman"/>
                <w:color w:val="000000"/>
              </w:rPr>
              <w:t>обслуживанием этого объекта.</w:t>
            </w:r>
            <w:r>
              <w:rPr>
                <w:rFonts w:eastAsia="Times New Roman"/>
                <w:color w:val="000000"/>
              </w:rPr>
              <w:t xml:space="preserve"> Улучшение - </w:t>
            </w:r>
            <w:r w:rsidRPr="00015147">
              <w:rPr>
                <w:rFonts w:eastAsia="Times New Roman"/>
                <w:color w:val="000000"/>
              </w:rPr>
              <w:t xml:space="preserve">достройка, доработка, дооборудование, модернизация, реконструкция, ремонт, техобслуживание, техосмотр и иные аналогичные действия с </w:t>
            </w:r>
            <w:proofErr w:type="spellStart"/>
            <w:r>
              <w:rPr>
                <w:rFonts w:eastAsia="Times New Roman"/>
                <w:color w:val="000000"/>
              </w:rPr>
              <w:t>внеоборотным</w:t>
            </w:r>
            <w:proofErr w:type="spellEnd"/>
            <w:r>
              <w:rPr>
                <w:rFonts w:eastAsia="Times New Roman"/>
                <w:color w:val="000000"/>
              </w:rPr>
              <w:t xml:space="preserve"> материальным активом</w:t>
            </w:r>
            <w:r w:rsidRPr="00015147">
              <w:rPr>
                <w:rFonts w:eastAsia="Times New Roman"/>
                <w:color w:val="000000"/>
              </w:rPr>
              <w:t>, улучшающие его функциональные качества или обеспечивающие возможность его использования на следующий продолжительный период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4D88" w:rsidRPr="00015147" w:rsidRDefault="00A64D88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Привести в соответствие с п.10 </w:t>
            </w:r>
            <w:r>
              <w:rPr>
                <w:rFonts w:eastAsia="Times New Roman"/>
                <w:color w:val="000000"/>
                <w:lang w:val="en-US"/>
              </w:rPr>
              <w:t>IAS</w:t>
            </w:r>
            <w:r w:rsidRPr="00015147">
              <w:rPr>
                <w:rFonts w:eastAsia="Times New Roman"/>
                <w:color w:val="000000"/>
              </w:rPr>
              <w:t xml:space="preserve"> 16 </w:t>
            </w:r>
            <w:r>
              <w:rPr>
                <w:rFonts w:eastAsia="Times New Roman"/>
                <w:color w:val="000000"/>
              </w:rPr>
              <w:t>и п.14 первого проекта ФСБУ ОС.</w:t>
            </w:r>
          </w:p>
        </w:tc>
        <w:tc>
          <w:tcPr>
            <w:tcW w:w="29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C4F92" w:rsidRDefault="005F543A" w:rsidP="005F543A">
            <w:pPr>
              <w:rPr>
                <w:rFonts w:ascii="Arial Narrow" w:eastAsia="Times New Roman" w:hAnsi="Arial Narrow"/>
                <w:color w:val="0070C0"/>
              </w:rPr>
            </w:pPr>
            <w:r>
              <w:rPr>
                <w:rFonts w:ascii="Arial Narrow" w:eastAsia="Times New Roman" w:hAnsi="Arial Narrow"/>
                <w:color w:val="0070C0"/>
              </w:rPr>
              <w:t>Учтено.</w:t>
            </w:r>
          </w:p>
          <w:p w:rsidR="005F543A" w:rsidRPr="0051609A" w:rsidRDefault="005F543A" w:rsidP="005F543A">
            <w:pPr>
              <w:rPr>
                <w:rFonts w:ascii="Arial Narrow" w:eastAsia="Times New Roman" w:hAnsi="Arial Narrow"/>
                <w:i/>
                <w:color w:val="0070C0"/>
              </w:rPr>
            </w:pPr>
            <w:r w:rsidRPr="005F543A">
              <w:rPr>
                <w:rFonts w:ascii="Arial Narrow" w:eastAsia="Times New Roman" w:hAnsi="Arial Narrow"/>
                <w:color w:val="0070C0"/>
              </w:rPr>
              <w:t xml:space="preserve">Пункт 5 дополнен </w:t>
            </w:r>
            <w:r>
              <w:rPr>
                <w:rFonts w:ascii="Arial Narrow" w:eastAsia="Times New Roman" w:hAnsi="Arial Narrow"/>
                <w:color w:val="0070C0"/>
              </w:rPr>
              <w:t xml:space="preserve">(в конце) </w:t>
            </w:r>
            <w:r w:rsidRPr="005F543A">
              <w:rPr>
                <w:rFonts w:ascii="Arial Narrow" w:eastAsia="Times New Roman" w:hAnsi="Arial Narrow"/>
                <w:color w:val="0070C0"/>
              </w:rPr>
              <w:t>новым абзацем</w:t>
            </w:r>
            <w:r>
              <w:rPr>
                <w:rFonts w:ascii="Arial Narrow" w:eastAsia="Times New Roman" w:hAnsi="Arial Narrow"/>
                <w:color w:val="0070C0"/>
              </w:rPr>
              <w:t>.</w:t>
            </w:r>
          </w:p>
        </w:tc>
      </w:tr>
      <w:tr w:rsidR="005F543A" w:rsidRPr="002D5CED" w:rsidTr="00B12E8F">
        <w:tc>
          <w:tcPr>
            <w:tcW w:w="4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2D5CED" w:rsidRDefault="005F543A" w:rsidP="0054366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BD0E9E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5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A87E6E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Новый п. после п.14</w:t>
            </w:r>
          </w:p>
        </w:tc>
        <w:tc>
          <w:tcPr>
            <w:tcW w:w="48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C00A1C" w:rsidRDefault="005F543A" w:rsidP="005F543A">
            <w:pPr>
              <w:rPr>
                <w:rFonts w:eastAsia="Times New Roman"/>
                <w:color w:val="000000"/>
              </w:rPr>
            </w:pPr>
            <w:r w:rsidRPr="00C00A1C">
              <w:rPr>
                <w:rFonts w:eastAsia="Times New Roman"/>
                <w:color w:val="000000"/>
              </w:rPr>
              <w:t xml:space="preserve">15. </w:t>
            </w:r>
            <w:proofErr w:type="gramStart"/>
            <w:r w:rsidRPr="00C00A1C">
              <w:rPr>
                <w:rFonts w:eastAsia="Times New Roman"/>
                <w:color w:val="000000"/>
              </w:rPr>
              <w:t xml:space="preserve">Затраты, </w:t>
            </w:r>
            <w:r>
              <w:rPr>
                <w:rFonts w:eastAsia="Times New Roman"/>
                <w:color w:val="000000"/>
              </w:rPr>
              <w:t>формирующие</w:t>
            </w:r>
            <w:r w:rsidRPr="00D42D31">
              <w:rPr>
                <w:rFonts w:eastAsia="Times New Roman"/>
                <w:color w:val="000000"/>
              </w:rPr>
              <w:t xml:space="preserve"> стоимость незавершенных капитальных вложений</w:t>
            </w:r>
            <w:r w:rsidRPr="00C00A1C">
              <w:rPr>
                <w:rFonts w:eastAsia="Times New Roman"/>
                <w:color w:val="000000"/>
              </w:rPr>
              <w:t xml:space="preserve">, включаются в стоимость </w:t>
            </w:r>
            <w:r>
              <w:rPr>
                <w:rFonts w:eastAsia="Times New Roman"/>
                <w:color w:val="000000"/>
              </w:rPr>
              <w:t xml:space="preserve">соответствующих объектов </w:t>
            </w:r>
            <w:proofErr w:type="spellStart"/>
            <w:r w:rsidRPr="004B3487">
              <w:rPr>
                <w:rFonts w:eastAsia="Times New Roman"/>
                <w:color w:val="000000"/>
              </w:rPr>
              <w:t>внеоборотных</w:t>
            </w:r>
            <w:proofErr w:type="spellEnd"/>
            <w:r w:rsidRPr="004B3487">
              <w:rPr>
                <w:rFonts w:eastAsia="Times New Roman"/>
                <w:color w:val="000000"/>
              </w:rPr>
              <w:t xml:space="preserve"> материальных активов</w:t>
            </w:r>
            <w:r w:rsidRPr="00C00A1C">
              <w:rPr>
                <w:rFonts w:eastAsia="Times New Roman"/>
                <w:color w:val="000000"/>
              </w:rPr>
              <w:t xml:space="preserve"> при соблюдении условий признания, </w:t>
            </w:r>
            <w:r w:rsidRPr="00C00A1C">
              <w:rPr>
                <w:rFonts w:eastAsia="Times New Roman"/>
                <w:color w:val="000000"/>
              </w:rPr>
              <w:lastRenderedPageBreak/>
              <w:t xml:space="preserve">указанных в пункте </w:t>
            </w:r>
            <w:r>
              <w:rPr>
                <w:rFonts w:eastAsia="Times New Roman"/>
                <w:color w:val="000000"/>
              </w:rPr>
              <w:t>5</w:t>
            </w:r>
            <w:r w:rsidRPr="00C00A1C">
              <w:rPr>
                <w:rFonts w:eastAsia="Times New Roman"/>
                <w:color w:val="000000"/>
              </w:rPr>
              <w:t xml:space="preserve"> настоящего Стандарта, независимо от того, понесены ли эти затраты до или после начала эксплуатации </w:t>
            </w:r>
            <w:proofErr w:type="spellStart"/>
            <w:r>
              <w:rPr>
                <w:rFonts w:eastAsia="Times New Roman"/>
                <w:color w:val="000000"/>
              </w:rPr>
              <w:t>внеоборотного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материального актива</w:t>
            </w:r>
            <w:r w:rsidRPr="00C00A1C">
              <w:rPr>
                <w:rFonts w:eastAsia="Times New Roman"/>
                <w:color w:val="00000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C00A1C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Необходимо урегулировать учет затрат, удовлетворяющие критерии признания (п.5) возникающие (или </w:t>
            </w:r>
            <w:r>
              <w:rPr>
                <w:rFonts w:eastAsia="Times New Roman"/>
                <w:color w:val="000000"/>
              </w:rPr>
              <w:lastRenderedPageBreak/>
              <w:t xml:space="preserve">выявленные) после </w:t>
            </w:r>
            <w:r w:rsidRPr="00D42D31">
              <w:rPr>
                <w:rFonts w:eastAsia="Times New Roman"/>
                <w:color w:val="000000"/>
              </w:rPr>
              <w:t>начала эксплуатации основного средства</w:t>
            </w:r>
            <w:r>
              <w:rPr>
                <w:rFonts w:eastAsia="Times New Roman"/>
                <w:color w:val="000000"/>
              </w:rPr>
              <w:t xml:space="preserve"> (п.15 первого проекта ФСБУ ОС).</w:t>
            </w:r>
          </w:p>
        </w:tc>
        <w:tc>
          <w:tcPr>
            <w:tcW w:w="29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5F543A" w:rsidRPr="0051609A" w:rsidRDefault="005F543A" w:rsidP="005F543A">
            <w:pPr>
              <w:rPr>
                <w:rFonts w:ascii="Arial Narrow" w:eastAsia="Times New Roman" w:hAnsi="Arial Narrow"/>
                <w:i/>
                <w:color w:val="0070C0"/>
              </w:rPr>
            </w:pPr>
            <w:r>
              <w:rPr>
                <w:rFonts w:ascii="Arial Narrow" w:eastAsia="Times New Roman" w:hAnsi="Arial Narrow"/>
                <w:color w:val="0070C0"/>
              </w:rPr>
              <w:lastRenderedPageBreak/>
              <w:t xml:space="preserve">Учтено путем </w:t>
            </w:r>
            <w:r w:rsidRPr="005F543A">
              <w:rPr>
                <w:rFonts w:ascii="Arial Narrow" w:eastAsia="Times New Roman" w:hAnsi="Arial Narrow"/>
                <w:color w:val="0070C0"/>
              </w:rPr>
              <w:t>дополнен</w:t>
            </w:r>
            <w:r>
              <w:rPr>
                <w:rFonts w:ascii="Arial Narrow" w:eastAsia="Times New Roman" w:hAnsi="Arial Narrow"/>
                <w:color w:val="0070C0"/>
              </w:rPr>
              <w:t>ия п</w:t>
            </w:r>
            <w:r w:rsidRPr="005F543A">
              <w:rPr>
                <w:rFonts w:ascii="Arial Narrow" w:eastAsia="Times New Roman" w:hAnsi="Arial Narrow"/>
                <w:color w:val="0070C0"/>
              </w:rPr>
              <w:t>ункт</w:t>
            </w:r>
            <w:r>
              <w:rPr>
                <w:rFonts w:ascii="Arial Narrow" w:eastAsia="Times New Roman" w:hAnsi="Arial Narrow"/>
                <w:color w:val="0070C0"/>
              </w:rPr>
              <w:t>а</w:t>
            </w:r>
            <w:r w:rsidRPr="005F543A">
              <w:rPr>
                <w:rFonts w:ascii="Arial Narrow" w:eastAsia="Times New Roman" w:hAnsi="Arial Narrow"/>
                <w:color w:val="0070C0"/>
              </w:rPr>
              <w:t xml:space="preserve"> 5 новым абзацем</w:t>
            </w:r>
            <w:r>
              <w:rPr>
                <w:rFonts w:ascii="Arial Narrow" w:eastAsia="Times New Roman" w:hAnsi="Arial Narrow"/>
                <w:color w:val="0070C0"/>
              </w:rPr>
              <w:t>.</w:t>
            </w:r>
          </w:p>
        </w:tc>
      </w:tr>
      <w:tr w:rsidR="005F543A" w:rsidRPr="002D5CED" w:rsidTr="00B12E8F">
        <w:tc>
          <w:tcPr>
            <w:tcW w:w="4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4366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</w:t>
            </w:r>
          </w:p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Подп</w:t>
            </w:r>
            <w:proofErr w:type="spellEnd"/>
            <w:r>
              <w:rPr>
                <w:rFonts w:eastAsia="Times New Roman"/>
                <w:color w:val="000000"/>
              </w:rPr>
              <w:t>. в</w:t>
            </w:r>
            <w:r w:rsidRPr="00C86E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5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в) </w:t>
            </w:r>
            <w:r w:rsidRPr="00483541">
              <w:rPr>
                <w:rFonts w:eastAsia="Times New Roman"/>
                <w:color w:val="000000"/>
              </w:rPr>
              <w:t>приобретение сырья, материалов, комплектующих, запчасте</w:t>
            </w:r>
            <w:r>
              <w:rPr>
                <w:rFonts w:eastAsia="Times New Roman"/>
                <w:color w:val="000000"/>
              </w:rPr>
              <w:t>й и других аналогичных объектов</w:t>
            </w:r>
            <w:r w:rsidRPr="00483541">
              <w:rPr>
                <w:rFonts w:eastAsia="Times New Roman"/>
                <w:color w:val="000000"/>
              </w:rPr>
              <w:t xml:space="preserve"> </w:t>
            </w:r>
            <w:r w:rsidRPr="00DE3386">
              <w:rPr>
                <w:rFonts w:eastAsia="Times New Roman"/>
                <w:i/>
                <w:color w:val="000000"/>
              </w:rPr>
              <w:t>до момента</w:t>
            </w:r>
            <w:r w:rsidRPr="00483541">
              <w:rPr>
                <w:rFonts w:eastAsia="Times New Roman"/>
                <w:color w:val="000000"/>
              </w:rPr>
              <w:t xml:space="preserve"> приведения объекта в то место и (или) в то состояние, в которых организация намерена его использовать </w:t>
            </w:r>
            <w:r w:rsidRPr="00AA03C7">
              <w:rPr>
                <w:rFonts w:eastAsia="Times New Roman"/>
                <w:i/>
                <w:color w:val="000000"/>
              </w:rPr>
              <w:t xml:space="preserve">получения </w:t>
            </w:r>
            <w:proofErr w:type="spellStart"/>
            <w:r w:rsidRPr="00AA03C7">
              <w:rPr>
                <w:rFonts w:eastAsia="Times New Roman"/>
                <w:i/>
                <w:color w:val="000000"/>
              </w:rPr>
              <w:t>внеоборотных</w:t>
            </w:r>
            <w:proofErr w:type="spellEnd"/>
            <w:r w:rsidRPr="00AA03C7">
              <w:rPr>
                <w:rFonts w:eastAsia="Times New Roman"/>
                <w:i/>
                <w:color w:val="000000"/>
              </w:rPr>
              <w:t xml:space="preserve"> материальных активов</w:t>
            </w:r>
            <w:r w:rsidRPr="00483541">
              <w:rPr>
                <w:rFonts w:eastAsia="Times New Roman"/>
                <w:color w:val="000000"/>
              </w:rPr>
              <w:t>;</w:t>
            </w:r>
            <w:proofErr w:type="gramEnd"/>
          </w:p>
        </w:tc>
        <w:tc>
          <w:tcPr>
            <w:tcW w:w="48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AA03C7" w:rsidRDefault="005F543A" w:rsidP="005F543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 w:rsidRPr="008A0797">
              <w:rPr>
                <w:rFonts w:eastAsia="Times New Roman"/>
                <w:color w:val="000000"/>
              </w:rPr>
              <w:t>Этот пункт некорректен</w:t>
            </w:r>
          </w:p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 необходимости указывать здесь доп. критерии, если соблюдается п.5.</w:t>
            </w:r>
          </w:p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Время приобретения не может быть критерием. Предлагается убрать или заменить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«с целью…»</w:t>
            </w:r>
          </w:p>
        </w:tc>
        <w:tc>
          <w:tcPr>
            <w:tcW w:w="29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5F543A" w:rsidRDefault="005F543A" w:rsidP="00D63748">
            <w:pPr>
              <w:rPr>
                <w:rFonts w:ascii="Arial Narrow" w:eastAsia="Times New Roman" w:hAnsi="Arial Narrow"/>
                <w:color w:val="0070C0"/>
              </w:rPr>
            </w:pPr>
            <w:r>
              <w:rPr>
                <w:rFonts w:ascii="Arial Narrow" w:eastAsia="Times New Roman" w:hAnsi="Arial Narrow"/>
                <w:color w:val="0070C0"/>
              </w:rPr>
              <w:t>Учтено.</w:t>
            </w:r>
          </w:p>
          <w:p w:rsidR="005F543A" w:rsidRPr="0051609A" w:rsidRDefault="005F543A" w:rsidP="005F543A">
            <w:pPr>
              <w:rPr>
                <w:rFonts w:ascii="Arial Narrow" w:eastAsia="Times New Roman" w:hAnsi="Arial Narrow"/>
                <w:i/>
                <w:color w:val="0070C0"/>
              </w:rPr>
            </w:pPr>
            <w:r w:rsidRPr="005F543A">
              <w:rPr>
                <w:rFonts w:ascii="Arial Narrow" w:eastAsia="Times New Roman" w:hAnsi="Arial Narrow"/>
                <w:color w:val="0070C0"/>
              </w:rPr>
              <w:t>П</w:t>
            </w:r>
            <w:r>
              <w:rPr>
                <w:rFonts w:ascii="Arial Narrow" w:eastAsia="Times New Roman" w:hAnsi="Arial Narrow"/>
                <w:color w:val="0070C0"/>
              </w:rPr>
              <w:t>одпункт «в» п</w:t>
            </w:r>
            <w:r w:rsidRPr="005F543A">
              <w:rPr>
                <w:rFonts w:ascii="Arial Narrow" w:eastAsia="Times New Roman" w:hAnsi="Arial Narrow"/>
                <w:color w:val="0070C0"/>
              </w:rPr>
              <w:t>ункт</w:t>
            </w:r>
            <w:r>
              <w:rPr>
                <w:rFonts w:ascii="Arial Narrow" w:eastAsia="Times New Roman" w:hAnsi="Arial Narrow"/>
                <w:color w:val="0070C0"/>
              </w:rPr>
              <w:t>а</w:t>
            </w:r>
            <w:r w:rsidRPr="005F543A">
              <w:rPr>
                <w:rFonts w:ascii="Arial Narrow" w:eastAsia="Times New Roman" w:hAnsi="Arial Narrow"/>
                <w:color w:val="0070C0"/>
              </w:rPr>
              <w:t xml:space="preserve"> </w:t>
            </w:r>
            <w:r>
              <w:rPr>
                <w:rFonts w:ascii="Arial Narrow" w:eastAsia="Times New Roman" w:hAnsi="Arial Narrow"/>
                <w:color w:val="0070C0"/>
              </w:rPr>
              <w:t>7</w:t>
            </w:r>
            <w:r w:rsidRPr="005F543A">
              <w:rPr>
                <w:rFonts w:ascii="Arial Narrow" w:eastAsia="Times New Roman" w:hAnsi="Arial Narrow"/>
                <w:color w:val="0070C0"/>
              </w:rPr>
              <w:t xml:space="preserve"> </w:t>
            </w:r>
            <w:r>
              <w:rPr>
                <w:rFonts w:ascii="Arial Narrow" w:eastAsia="Times New Roman" w:hAnsi="Arial Narrow"/>
                <w:color w:val="0070C0"/>
              </w:rPr>
              <w:t>изложен в новой редакции.</w:t>
            </w:r>
          </w:p>
        </w:tc>
      </w:tr>
      <w:tr w:rsidR="005F543A" w:rsidRPr="002D5CED" w:rsidTr="00B12E8F">
        <w:tc>
          <w:tcPr>
            <w:tcW w:w="4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4366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Подп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 w:rsidRPr="00C86E8D">
              <w:rPr>
                <w:rFonts w:eastAsia="Times New Roman"/>
                <w:color w:val="000000"/>
              </w:rPr>
              <w:t>ж)</w:t>
            </w:r>
          </w:p>
        </w:tc>
        <w:tc>
          <w:tcPr>
            <w:tcW w:w="35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ж) </w:t>
            </w:r>
            <w:r w:rsidRPr="008A0797">
              <w:rPr>
                <w:rFonts w:eastAsia="Times New Roman"/>
                <w:color w:val="000000"/>
              </w:rPr>
              <w:t>величина оценочного обязательства по демонтажу, утилизации в будущем имущества и восстановлению окружающей среды на занимаемом им участке, возникшего у организации в связи с осуществлением незавершенных капитальных вложений.</w:t>
            </w:r>
          </w:p>
        </w:tc>
        <w:tc>
          <w:tcPr>
            <w:tcW w:w="48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Pr="00C00A1C" w:rsidRDefault="005F543A" w:rsidP="005F5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C86E8D">
              <w:rPr>
                <w:rFonts w:eastAsia="Times New Roman"/>
                <w:color w:val="000000"/>
              </w:rPr>
              <w:t xml:space="preserve">еличина оценочного обязательства по демонтажу, утилизации в будущем </w:t>
            </w:r>
            <w:r w:rsidRPr="008A0797">
              <w:rPr>
                <w:rFonts w:eastAsia="Times New Roman"/>
                <w:b/>
                <w:color w:val="000000"/>
              </w:rPr>
              <w:t xml:space="preserve">объекта </w:t>
            </w:r>
            <w:proofErr w:type="spellStart"/>
            <w:r w:rsidRPr="008A0797">
              <w:rPr>
                <w:rFonts w:eastAsia="Times New Roman"/>
                <w:b/>
                <w:color w:val="000000"/>
              </w:rPr>
              <w:t>внеоборотных</w:t>
            </w:r>
            <w:proofErr w:type="spellEnd"/>
            <w:r w:rsidRPr="008A0797">
              <w:rPr>
                <w:rFonts w:eastAsia="Times New Roman"/>
                <w:b/>
                <w:color w:val="000000"/>
              </w:rPr>
              <w:t xml:space="preserve"> материальных активов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86E8D">
              <w:rPr>
                <w:rFonts w:eastAsia="Times New Roman"/>
                <w:color w:val="000000"/>
              </w:rPr>
              <w:t>и восстановлению окружающей среды на занимаемом им участке, возникшего у организации в связи с</w:t>
            </w:r>
            <w:r>
              <w:rPr>
                <w:rFonts w:eastAsia="Times New Roman"/>
                <w:color w:val="000000"/>
              </w:rPr>
              <w:t xml:space="preserve">о </w:t>
            </w:r>
            <w:r w:rsidRPr="008A0797">
              <w:rPr>
                <w:rFonts w:eastAsia="Times New Roman"/>
                <w:b/>
                <w:color w:val="000000"/>
              </w:rPr>
              <w:t xml:space="preserve">строительством или приобретением </w:t>
            </w:r>
            <w:proofErr w:type="spellStart"/>
            <w:r w:rsidRPr="008A0797">
              <w:rPr>
                <w:rFonts w:eastAsia="Times New Roman"/>
                <w:b/>
                <w:color w:val="000000"/>
              </w:rPr>
              <w:t>внеобротного</w:t>
            </w:r>
            <w:proofErr w:type="spellEnd"/>
            <w:r w:rsidRPr="008A0797">
              <w:rPr>
                <w:rFonts w:eastAsia="Times New Roman"/>
                <w:b/>
                <w:color w:val="000000"/>
              </w:rPr>
              <w:t xml:space="preserve"> материального актива,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543A" w:rsidRDefault="005F543A" w:rsidP="005F54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5F543A" w:rsidRDefault="005F543A" w:rsidP="005F543A">
            <w:pPr>
              <w:rPr>
                <w:rFonts w:ascii="Arial Narrow" w:eastAsia="Times New Roman" w:hAnsi="Arial Narrow"/>
                <w:color w:val="0070C0"/>
              </w:rPr>
            </w:pPr>
            <w:r>
              <w:rPr>
                <w:rFonts w:ascii="Arial Narrow" w:eastAsia="Times New Roman" w:hAnsi="Arial Narrow"/>
                <w:color w:val="0070C0"/>
              </w:rPr>
              <w:t>Редакция под</w:t>
            </w:r>
            <w:r w:rsidR="00B12E8F">
              <w:rPr>
                <w:rFonts w:ascii="Arial Narrow" w:eastAsia="Times New Roman" w:hAnsi="Arial Narrow"/>
                <w:color w:val="0070C0"/>
              </w:rPr>
              <w:t>п</w:t>
            </w:r>
            <w:r>
              <w:rPr>
                <w:rFonts w:ascii="Arial Narrow" w:eastAsia="Times New Roman" w:hAnsi="Arial Narrow"/>
                <w:color w:val="0070C0"/>
              </w:rPr>
              <w:t>ункта «ж» пункта 8 приведена в соответствие с аналогичной формулировкой проекта ФСБУ «Запасы» после одобрения ее Советом по СБУ.</w:t>
            </w:r>
          </w:p>
          <w:p w:rsidR="00B12E8F" w:rsidRPr="0051609A" w:rsidRDefault="00B12E8F" w:rsidP="00B12E8F">
            <w:pPr>
              <w:rPr>
                <w:rFonts w:ascii="Arial Narrow" w:eastAsia="Times New Roman" w:hAnsi="Arial Narrow"/>
                <w:color w:val="0070C0"/>
              </w:rPr>
            </w:pPr>
            <w:r>
              <w:rPr>
                <w:rFonts w:ascii="Arial Narrow" w:eastAsia="Times New Roman" w:hAnsi="Arial Narrow"/>
                <w:color w:val="0070C0"/>
              </w:rPr>
              <w:t>Замена термина «имущество» на «</w:t>
            </w:r>
            <w:proofErr w:type="spellStart"/>
            <w:r>
              <w:rPr>
                <w:rFonts w:ascii="Arial Narrow" w:eastAsia="Times New Roman" w:hAnsi="Arial Narrow"/>
                <w:color w:val="0070C0"/>
              </w:rPr>
              <w:t>внеоборотный</w:t>
            </w:r>
            <w:proofErr w:type="spellEnd"/>
            <w:r>
              <w:rPr>
                <w:rFonts w:ascii="Arial Narrow" w:eastAsia="Times New Roman" w:hAnsi="Arial Narrow"/>
                <w:color w:val="0070C0"/>
              </w:rPr>
              <w:t xml:space="preserve"> материальный актив» нецелесообразна, так как признание обязательства и включение в стоимость НКВ не зависит от того, чем и как признается в бухучете подлежащее в будущем утилизации имущество.</w:t>
            </w:r>
          </w:p>
        </w:tc>
      </w:tr>
    </w:tbl>
    <w:p w:rsidR="00C132B6" w:rsidRPr="001B3EBB" w:rsidRDefault="00C132B6" w:rsidP="0051609A">
      <w:pPr>
        <w:jc w:val="both"/>
      </w:pPr>
    </w:p>
    <w:sectPr w:rsidR="00C132B6" w:rsidRPr="001B3EBB" w:rsidSect="00B075B6">
      <w:headerReference w:type="default" r:id="rId8"/>
      <w:footerReference w:type="default" r:id="rId9"/>
      <w:pgSz w:w="16838" w:h="11906" w:orient="landscape"/>
      <w:pgMar w:top="567" w:right="567" w:bottom="567" w:left="567" w:header="170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09" w:rsidRDefault="003D2F09" w:rsidP="00F11508">
      <w:r>
        <w:separator/>
      </w:r>
    </w:p>
  </w:endnote>
  <w:endnote w:type="continuationSeparator" w:id="0">
    <w:p w:rsidR="003D2F09" w:rsidRDefault="003D2F09" w:rsidP="00F1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567104"/>
      <w:docPartObj>
        <w:docPartGallery w:val="Page Numbers (Bottom of Page)"/>
        <w:docPartUnique/>
      </w:docPartObj>
    </w:sdtPr>
    <w:sdtContent>
      <w:p w:rsidR="00F11508" w:rsidRDefault="003319CE">
        <w:pPr>
          <w:pStyle w:val="ad"/>
          <w:jc w:val="right"/>
        </w:pPr>
        <w:r>
          <w:fldChar w:fldCharType="begin"/>
        </w:r>
        <w:r w:rsidR="00F11508">
          <w:instrText>PAGE   \* MERGEFORMAT</w:instrText>
        </w:r>
        <w:r>
          <w:fldChar w:fldCharType="separate"/>
        </w:r>
        <w:r w:rsidR="00B075B6">
          <w:rPr>
            <w:noProof/>
          </w:rPr>
          <w:t>1</w:t>
        </w:r>
        <w:r>
          <w:fldChar w:fldCharType="end"/>
        </w:r>
      </w:p>
    </w:sdtContent>
  </w:sdt>
  <w:p w:rsidR="00F11508" w:rsidRDefault="00F115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09" w:rsidRDefault="003D2F09" w:rsidP="00F11508">
      <w:r>
        <w:separator/>
      </w:r>
    </w:p>
  </w:footnote>
  <w:footnote w:type="continuationSeparator" w:id="0">
    <w:p w:rsidR="003D2F09" w:rsidRDefault="003D2F09" w:rsidP="00F1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B6" w:rsidRDefault="00B075B6">
    <w:pPr>
      <w:pStyle w:val="ab"/>
    </w:pPr>
    <w:r w:rsidRPr="00B075B6">
      <w:drawing>
        <wp:inline distT="0" distB="0" distL="0" distR="0">
          <wp:extent cx="819397" cy="307274"/>
          <wp:effectExtent l="0" t="0" r="0" b="0"/>
          <wp:docPr id="6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5B6" w:rsidRDefault="00B075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91B"/>
    <w:multiLevelType w:val="hybridMultilevel"/>
    <w:tmpl w:val="F7CE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A421E"/>
    <w:multiLevelType w:val="hybridMultilevel"/>
    <w:tmpl w:val="EF789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7D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EB08B6"/>
    <w:multiLevelType w:val="hybridMultilevel"/>
    <w:tmpl w:val="FA92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2788"/>
    <w:multiLevelType w:val="hybridMultilevel"/>
    <w:tmpl w:val="0E2049F0"/>
    <w:lvl w:ilvl="0" w:tplc="8EB06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349D1"/>
    <w:multiLevelType w:val="hybridMultilevel"/>
    <w:tmpl w:val="E200DB7A"/>
    <w:lvl w:ilvl="0" w:tplc="654CA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52"/>
    <w:rsid w:val="00015147"/>
    <w:rsid w:val="000171D8"/>
    <w:rsid w:val="00033D79"/>
    <w:rsid w:val="000862DD"/>
    <w:rsid w:val="00086AFF"/>
    <w:rsid w:val="000F3FD5"/>
    <w:rsid w:val="00177EB6"/>
    <w:rsid w:val="001A2D19"/>
    <w:rsid w:val="001A4D87"/>
    <w:rsid w:val="001B3EBB"/>
    <w:rsid w:val="001F374A"/>
    <w:rsid w:val="002704C7"/>
    <w:rsid w:val="002822AC"/>
    <w:rsid w:val="002947B2"/>
    <w:rsid w:val="002D5CED"/>
    <w:rsid w:val="00324687"/>
    <w:rsid w:val="003319CE"/>
    <w:rsid w:val="00335452"/>
    <w:rsid w:val="0034206D"/>
    <w:rsid w:val="00354BA5"/>
    <w:rsid w:val="00356461"/>
    <w:rsid w:val="00381779"/>
    <w:rsid w:val="003A6BDB"/>
    <w:rsid w:val="003B70DD"/>
    <w:rsid w:val="003D2F09"/>
    <w:rsid w:val="00440AED"/>
    <w:rsid w:val="00446B3B"/>
    <w:rsid w:val="00450BC4"/>
    <w:rsid w:val="00452010"/>
    <w:rsid w:val="00473BA0"/>
    <w:rsid w:val="004864C1"/>
    <w:rsid w:val="004B3487"/>
    <w:rsid w:val="004E1AE2"/>
    <w:rsid w:val="004E61CC"/>
    <w:rsid w:val="004F45D8"/>
    <w:rsid w:val="0051609A"/>
    <w:rsid w:val="0054366A"/>
    <w:rsid w:val="00587419"/>
    <w:rsid w:val="00587B6B"/>
    <w:rsid w:val="005F543A"/>
    <w:rsid w:val="006109D8"/>
    <w:rsid w:val="00631903"/>
    <w:rsid w:val="006606AE"/>
    <w:rsid w:val="00734BD9"/>
    <w:rsid w:val="00745B6C"/>
    <w:rsid w:val="00752904"/>
    <w:rsid w:val="00782A6A"/>
    <w:rsid w:val="00784356"/>
    <w:rsid w:val="007B7444"/>
    <w:rsid w:val="007C6B84"/>
    <w:rsid w:val="007D3D12"/>
    <w:rsid w:val="007D4EE7"/>
    <w:rsid w:val="00893011"/>
    <w:rsid w:val="008A0797"/>
    <w:rsid w:val="008A3F97"/>
    <w:rsid w:val="008C4F92"/>
    <w:rsid w:val="008E46F7"/>
    <w:rsid w:val="009117A5"/>
    <w:rsid w:val="0091623E"/>
    <w:rsid w:val="009576FD"/>
    <w:rsid w:val="009B3BEF"/>
    <w:rsid w:val="009F0AD6"/>
    <w:rsid w:val="00A2194B"/>
    <w:rsid w:val="00A64D88"/>
    <w:rsid w:val="00A87E6E"/>
    <w:rsid w:val="00A97808"/>
    <w:rsid w:val="00AA03C7"/>
    <w:rsid w:val="00AE6DD0"/>
    <w:rsid w:val="00B05FE3"/>
    <w:rsid w:val="00B075B6"/>
    <w:rsid w:val="00B10423"/>
    <w:rsid w:val="00B12E8F"/>
    <w:rsid w:val="00B209AD"/>
    <w:rsid w:val="00B95F8B"/>
    <w:rsid w:val="00BA2DBE"/>
    <w:rsid w:val="00BC37EA"/>
    <w:rsid w:val="00BD0E9E"/>
    <w:rsid w:val="00BD60C9"/>
    <w:rsid w:val="00BD7B17"/>
    <w:rsid w:val="00C00A1C"/>
    <w:rsid w:val="00C132B6"/>
    <w:rsid w:val="00C458D1"/>
    <w:rsid w:val="00C55C5A"/>
    <w:rsid w:val="00C57E53"/>
    <w:rsid w:val="00C6285D"/>
    <w:rsid w:val="00C86E8D"/>
    <w:rsid w:val="00CB0561"/>
    <w:rsid w:val="00CF296F"/>
    <w:rsid w:val="00D1490A"/>
    <w:rsid w:val="00D40F06"/>
    <w:rsid w:val="00D42D31"/>
    <w:rsid w:val="00D6719A"/>
    <w:rsid w:val="00D963DD"/>
    <w:rsid w:val="00DA2F3A"/>
    <w:rsid w:val="00DE3386"/>
    <w:rsid w:val="00E13CCD"/>
    <w:rsid w:val="00E8245D"/>
    <w:rsid w:val="00EA67D4"/>
    <w:rsid w:val="00EA691D"/>
    <w:rsid w:val="00EB4517"/>
    <w:rsid w:val="00EC18FF"/>
    <w:rsid w:val="00EE6917"/>
    <w:rsid w:val="00F10715"/>
    <w:rsid w:val="00F11508"/>
    <w:rsid w:val="00F472C6"/>
    <w:rsid w:val="00F678BD"/>
    <w:rsid w:val="00F81793"/>
    <w:rsid w:val="00F9214F"/>
    <w:rsid w:val="00FC3F7F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CED"/>
    <w:rPr>
      <w:b/>
      <w:bCs/>
    </w:rPr>
  </w:style>
  <w:style w:type="paragraph" w:styleId="a4">
    <w:name w:val="List Paragraph"/>
    <w:basedOn w:val="a"/>
    <w:uiPriority w:val="34"/>
    <w:qFormat/>
    <w:rsid w:val="00EE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963DD"/>
    <w:rPr>
      <w:strike w:val="0"/>
      <w:dstrike w:val="0"/>
      <w:color w:val="4B69BF"/>
      <w:u w:val="none"/>
      <w:effect w:val="none"/>
      <w:shd w:val="clear" w:color="auto" w:fill="auto"/>
    </w:rPr>
  </w:style>
  <w:style w:type="paragraph" w:customStyle="1" w:styleId="Default">
    <w:name w:val="Default"/>
    <w:rsid w:val="00D9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3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487"/>
    <w:rPr>
      <w:rFonts w:ascii="Tahom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A64D88"/>
    <w:pPr>
      <w:keepNext/>
      <w:keepLines/>
      <w:numPr>
        <w:ilvl w:val="1"/>
      </w:numPr>
      <w:spacing w:before="240" w:line="276" w:lineRule="auto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lang w:eastAsia="en-US"/>
    </w:rPr>
  </w:style>
  <w:style w:type="character" w:customStyle="1" w:styleId="a9">
    <w:name w:val="Подзаголовок Знак"/>
    <w:basedOn w:val="a0"/>
    <w:link w:val="a8"/>
    <w:uiPriority w:val="99"/>
    <w:rsid w:val="00A64D8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40F06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F115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50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15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150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824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7C1D-D691-4904-9BF6-49F4253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Георгиевна</dc:creator>
  <cp:lastModifiedBy>Наталья</cp:lastModifiedBy>
  <cp:revision>8</cp:revision>
  <dcterms:created xsi:type="dcterms:W3CDTF">2017-10-20T08:37:00Z</dcterms:created>
  <dcterms:modified xsi:type="dcterms:W3CDTF">2018-03-28T10:55:00Z</dcterms:modified>
</cp:coreProperties>
</file>