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26" w:rsidRPr="00A02497" w:rsidRDefault="00C27D26" w:rsidP="00C27D26">
      <w:pPr>
        <w:jc w:val="center"/>
        <w:rPr>
          <w:rFonts w:ascii="Times New Roman" w:hAnsi="Times New Roman" w:cs="Times New Roman"/>
          <w:b/>
        </w:rPr>
      </w:pPr>
      <w:r w:rsidRPr="00A02497">
        <w:rPr>
          <w:rFonts w:ascii="Times New Roman" w:hAnsi="Times New Roman" w:cs="Times New Roman"/>
          <w:b/>
        </w:rPr>
        <w:t>Замечания и предложения по Проекту Стандарта Запасы от 16.10.2016</w:t>
      </w:r>
      <w:r w:rsidR="00A02497">
        <w:rPr>
          <w:rFonts w:ascii="Times New Roman" w:hAnsi="Times New Roman" w:cs="Times New Roman"/>
          <w:b/>
        </w:rPr>
        <w:t xml:space="preserve"> от ООО «Виктория Балтия»</w:t>
      </w:r>
    </w:p>
    <w:tbl>
      <w:tblPr>
        <w:tblW w:w="15803" w:type="dxa"/>
        <w:tblCellMar>
          <w:left w:w="0" w:type="dxa"/>
          <w:right w:w="0" w:type="dxa"/>
        </w:tblCellMar>
        <w:tblLook w:val="04A0" w:firstRow="1" w:lastRow="0" w:firstColumn="1" w:lastColumn="0" w:noHBand="0" w:noVBand="1"/>
      </w:tblPr>
      <w:tblGrid>
        <w:gridCol w:w="375"/>
        <w:gridCol w:w="1266"/>
        <w:gridCol w:w="4201"/>
        <w:gridCol w:w="4545"/>
        <w:gridCol w:w="2542"/>
        <w:gridCol w:w="2874"/>
      </w:tblGrid>
      <w:tr w:rsidR="007A5619" w:rsidRPr="00A02497" w:rsidTr="008E74F9">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vAlign w:val="center"/>
            <w:hideMark/>
          </w:tcPr>
          <w:p w:rsidR="007A5619" w:rsidRPr="00A02497" w:rsidRDefault="007A5619" w:rsidP="00433D37">
            <w:pPr>
              <w:spacing w:after="0" w:line="240" w:lineRule="auto"/>
              <w:jc w:val="center"/>
              <w:textAlignment w:val="baseline"/>
              <w:rPr>
                <w:rFonts w:ascii="Times New Roman" w:eastAsia="Times New Roman" w:hAnsi="Times New Roman" w:cs="Times New Roman"/>
                <w:b/>
                <w:color w:val="000000"/>
                <w:lang w:eastAsia="ru-RU"/>
              </w:rPr>
            </w:pPr>
            <w:r w:rsidRPr="00A02497">
              <w:rPr>
                <w:rFonts w:ascii="Times New Roman" w:eastAsia="Times New Roman" w:hAnsi="Times New Roman" w:cs="Times New Roman"/>
                <w:b/>
                <w:color w:val="000000"/>
                <w:bdr w:val="none" w:sz="0" w:space="0" w:color="auto" w:frame="1"/>
                <w:lang w:eastAsia="ru-RU"/>
              </w:rPr>
              <w:t xml:space="preserve">№ </w:t>
            </w:r>
            <w:proofErr w:type="gramStart"/>
            <w:r w:rsidRPr="00A02497">
              <w:rPr>
                <w:rFonts w:ascii="Times New Roman" w:eastAsia="Times New Roman" w:hAnsi="Times New Roman" w:cs="Times New Roman"/>
                <w:b/>
                <w:color w:val="000000"/>
                <w:bdr w:val="none" w:sz="0" w:space="0" w:color="auto" w:frame="1"/>
                <w:lang w:eastAsia="ru-RU"/>
              </w:rPr>
              <w:t>п</w:t>
            </w:r>
            <w:proofErr w:type="gramEnd"/>
            <w:r w:rsidRPr="00A02497">
              <w:rPr>
                <w:rFonts w:ascii="Times New Roman" w:eastAsia="Times New Roman" w:hAnsi="Times New Roman" w:cs="Times New Roman"/>
                <w:b/>
                <w:color w:val="000000"/>
                <w:bdr w:val="none" w:sz="0" w:space="0" w:color="auto" w:frame="1"/>
                <w:lang w:eastAsia="ru-RU"/>
              </w:rPr>
              <w:t>/п</w:t>
            </w: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vAlign w:val="center"/>
            <w:hideMark/>
          </w:tcPr>
          <w:p w:rsidR="007A5619" w:rsidRPr="00A02497" w:rsidRDefault="007A5619" w:rsidP="00433D37">
            <w:pPr>
              <w:spacing w:after="0" w:line="240" w:lineRule="auto"/>
              <w:jc w:val="center"/>
              <w:textAlignment w:val="baseline"/>
              <w:rPr>
                <w:rFonts w:ascii="Times New Roman" w:eastAsia="Times New Roman" w:hAnsi="Times New Roman" w:cs="Times New Roman"/>
                <w:b/>
                <w:color w:val="000000"/>
                <w:lang w:eastAsia="ru-RU"/>
              </w:rPr>
            </w:pPr>
            <w:r w:rsidRPr="00A02497">
              <w:rPr>
                <w:rFonts w:ascii="Times New Roman" w:eastAsia="Times New Roman" w:hAnsi="Times New Roman" w:cs="Times New Roman"/>
                <w:b/>
                <w:color w:val="000000"/>
                <w:bdr w:val="none" w:sz="0" w:space="0" w:color="auto" w:frame="1"/>
                <w:lang w:eastAsia="ru-RU"/>
              </w:rPr>
              <w:t>Пункт (абзац, раздел)</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vAlign w:val="center"/>
            <w:hideMark/>
          </w:tcPr>
          <w:p w:rsidR="007A5619" w:rsidRPr="00A02497" w:rsidRDefault="007A5619" w:rsidP="00433D37">
            <w:pPr>
              <w:spacing w:after="0" w:line="240" w:lineRule="auto"/>
              <w:jc w:val="center"/>
              <w:textAlignment w:val="baseline"/>
              <w:rPr>
                <w:rFonts w:ascii="Times New Roman" w:eastAsia="Times New Roman" w:hAnsi="Times New Roman" w:cs="Times New Roman"/>
                <w:b/>
                <w:color w:val="000000"/>
                <w:lang w:eastAsia="ru-RU"/>
              </w:rPr>
            </w:pPr>
            <w:r w:rsidRPr="00A02497">
              <w:rPr>
                <w:rFonts w:ascii="Times New Roman" w:eastAsia="Times New Roman" w:hAnsi="Times New Roman" w:cs="Times New Roman"/>
                <w:b/>
                <w:color w:val="000000"/>
                <w:bdr w:val="none" w:sz="0" w:space="0" w:color="auto" w:frame="1"/>
                <w:lang w:eastAsia="ru-RU"/>
              </w:rPr>
              <w:t>Имеющаяся редакция</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vAlign w:val="center"/>
            <w:hideMark/>
          </w:tcPr>
          <w:p w:rsidR="007A5619" w:rsidRPr="00A02497" w:rsidRDefault="007A5619" w:rsidP="00433D37">
            <w:pPr>
              <w:spacing w:after="0" w:line="240" w:lineRule="auto"/>
              <w:jc w:val="center"/>
              <w:textAlignment w:val="baseline"/>
              <w:rPr>
                <w:rFonts w:ascii="Times New Roman" w:eastAsia="Times New Roman" w:hAnsi="Times New Roman" w:cs="Times New Roman"/>
                <w:b/>
                <w:color w:val="000000"/>
                <w:lang w:eastAsia="ru-RU"/>
              </w:rPr>
            </w:pPr>
            <w:r w:rsidRPr="00A02497">
              <w:rPr>
                <w:rFonts w:ascii="Times New Roman" w:eastAsia="Times New Roman" w:hAnsi="Times New Roman" w:cs="Times New Roman"/>
                <w:b/>
                <w:color w:val="000000"/>
                <w:bdr w:val="none" w:sz="0" w:space="0" w:color="auto" w:frame="1"/>
                <w:lang w:eastAsia="ru-RU"/>
              </w:rPr>
              <w:t>Предлагаемая редакция</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vAlign w:val="center"/>
            <w:hideMark/>
          </w:tcPr>
          <w:p w:rsidR="007A5619" w:rsidRPr="00A02497" w:rsidRDefault="007A5619" w:rsidP="00433D37">
            <w:pPr>
              <w:spacing w:after="0" w:line="240" w:lineRule="auto"/>
              <w:jc w:val="center"/>
              <w:textAlignment w:val="baseline"/>
              <w:rPr>
                <w:rFonts w:ascii="Times New Roman" w:eastAsia="Times New Roman" w:hAnsi="Times New Roman" w:cs="Times New Roman"/>
                <w:b/>
                <w:color w:val="000000"/>
                <w:lang w:eastAsia="ru-RU"/>
              </w:rPr>
            </w:pPr>
            <w:r w:rsidRPr="00A02497">
              <w:rPr>
                <w:rFonts w:ascii="Times New Roman" w:eastAsia="Times New Roman" w:hAnsi="Times New Roman" w:cs="Times New Roman"/>
                <w:b/>
                <w:color w:val="000000"/>
                <w:bdr w:val="none" w:sz="0" w:space="0" w:color="auto" w:frame="1"/>
                <w:lang w:eastAsia="ru-RU"/>
              </w:rPr>
              <w:t>Обоснование и комментарии</w:t>
            </w:r>
          </w:p>
        </w:tc>
        <w:tc>
          <w:tcPr>
            <w:tcW w:w="2874" w:type="dxa"/>
            <w:tcBorders>
              <w:top w:val="single" w:sz="6" w:space="0" w:color="555555"/>
              <w:left w:val="single" w:sz="6" w:space="0" w:color="555555"/>
              <w:bottom w:val="single" w:sz="6" w:space="0" w:color="555555"/>
              <w:right w:val="single" w:sz="6" w:space="0" w:color="555555"/>
            </w:tcBorders>
            <w:vAlign w:val="center"/>
          </w:tcPr>
          <w:p w:rsidR="007A5619" w:rsidRPr="007A5619" w:rsidRDefault="007A5619" w:rsidP="00A944C1">
            <w:pPr>
              <w:spacing w:after="0" w:line="240" w:lineRule="auto"/>
              <w:ind w:left="39"/>
              <w:jc w:val="center"/>
              <w:textAlignment w:val="baseline"/>
              <w:rPr>
                <w:rFonts w:ascii="Arial Narrow" w:eastAsia="Times New Roman" w:hAnsi="Arial Narrow" w:cs="Times New Roman"/>
                <w:b/>
                <w:color w:val="0070C0"/>
                <w:bdr w:val="none" w:sz="0" w:space="0" w:color="auto" w:frame="1"/>
                <w:lang w:eastAsia="ru-RU"/>
              </w:rPr>
            </w:pPr>
            <w:r w:rsidRPr="007A5619">
              <w:rPr>
                <w:rFonts w:ascii="Arial Narrow" w:eastAsia="Times New Roman" w:hAnsi="Arial Narrow" w:cs="Times New Roman"/>
                <w:b/>
                <w:color w:val="0070C0"/>
                <w:bdr w:val="none" w:sz="0" w:space="0" w:color="auto" w:frame="1"/>
                <w:lang w:eastAsia="ru-RU"/>
              </w:rPr>
              <w:t>Результат рассмотрения</w:t>
            </w:r>
          </w:p>
        </w:tc>
      </w:tr>
      <w:tr w:rsidR="007A5619"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1.</w:t>
            </w: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П.3 после п.п. б) дополнить</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rsidR="007A5619" w:rsidRPr="00E2328E" w:rsidRDefault="007A5619" w:rsidP="00E2328E">
            <w:pPr>
              <w:tabs>
                <w:tab w:val="left" w:pos="1276"/>
              </w:tabs>
              <w:suppressAutoHyphens/>
              <w:autoSpaceDE w:val="0"/>
              <w:autoSpaceDN w:val="0"/>
              <w:adjustRightInd w:val="0"/>
              <w:spacing w:after="0" w:line="240" w:lineRule="auto"/>
              <w:rPr>
                <w:rFonts w:ascii="Times New Roman" w:hAnsi="Times New Roman" w:cs="Times New Roman"/>
              </w:rPr>
            </w:pP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спецодежда, независимо от срока использования;</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Данный вид запаса не упомянут в Стандарте.</w:t>
            </w:r>
          </w:p>
        </w:tc>
        <w:tc>
          <w:tcPr>
            <w:tcW w:w="2874" w:type="dxa"/>
            <w:tcBorders>
              <w:top w:val="single" w:sz="6" w:space="0" w:color="555555"/>
              <w:left w:val="single" w:sz="6" w:space="0" w:color="555555"/>
              <w:bottom w:val="single" w:sz="6" w:space="0" w:color="555555"/>
              <w:right w:val="single" w:sz="6" w:space="0" w:color="555555"/>
            </w:tcBorders>
            <w:vAlign w:val="center"/>
          </w:tcPr>
          <w:p w:rsidR="007A5619" w:rsidRPr="007A5619" w:rsidRDefault="00A944C1"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Учтено (</w:t>
            </w:r>
            <w:proofErr w:type="spellStart"/>
            <w:r>
              <w:rPr>
                <w:rFonts w:ascii="Arial Narrow" w:eastAsia="Times New Roman" w:hAnsi="Arial Narrow" w:cs="Times New Roman"/>
                <w:color w:val="0070C0"/>
                <w:sz w:val="20"/>
                <w:lang w:eastAsia="ru-RU"/>
              </w:rPr>
              <w:t>пп</w:t>
            </w:r>
            <w:proofErr w:type="spellEnd"/>
            <w:proofErr w:type="gramStart"/>
            <w:r>
              <w:rPr>
                <w:rFonts w:ascii="Arial Narrow" w:eastAsia="Times New Roman" w:hAnsi="Arial Narrow" w:cs="Times New Roman"/>
                <w:color w:val="0070C0"/>
                <w:sz w:val="20"/>
                <w:lang w:eastAsia="ru-RU"/>
              </w:rPr>
              <w:t>.«</w:t>
            </w:r>
            <w:proofErr w:type="gramEnd"/>
            <w:r>
              <w:rPr>
                <w:rFonts w:ascii="Arial Narrow" w:eastAsia="Times New Roman" w:hAnsi="Arial Narrow" w:cs="Times New Roman"/>
                <w:color w:val="0070C0"/>
                <w:sz w:val="20"/>
                <w:lang w:eastAsia="ru-RU"/>
              </w:rPr>
              <w:t>б» п.3)</w:t>
            </w:r>
          </w:p>
        </w:tc>
      </w:tr>
      <w:tr w:rsidR="007A5619"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2</w:t>
            </w: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 xml:space="preserve">Из </w:t>
            </w:r>
            <w:proofErr w:type="spellStart"/>
            <w:r w:rsidRPr="00A02497">
              <w:rPr>
                <w:rFonts w:ascii="Times New Roman" w:eastAsia="Times New Roman" w:hAnsi="Times New Roman" w:cs="Times New Roman"/>
                <w:color w:val="000000"/>
                <w:lang w:eastAsia="ru-RU"/>
              </w:rPr>
              <w:t>пп</w:t>
            </w:r>
            <w:proofErr w:type="gramStart"/>
            <w:r w:rsidRPr="00A02497">
              <w:rPr>
                <w:rFonts w:ascii="Times New Roman" w:eastAsia="Times New Roman" w:hAnsi="Times New Roman" w:cs="Times New Roman"/>
                <w:color w:val="000000"/>
                <w:lang w:eastAsia="ru-RU"/>
              </w:rPr>
              <w:t>.д</w:t>
            </w:r>
            <w:proofErr w:type="spellEnd"/>
            <w:proofErr w:type="gramEnd"/>
            <w:r w:rsidRPr="00A02497">
              <w:rPr>
                <w:rFonts w:ascii="Times New Roman" w:eastAsia="Times New Roman" w:hAnsi="Times New Roman" w:cs="Times New Roman"/>
                <w:color w:val="000000"/>
                <w:lang w:eastAsia="ru-RU"/>
              </w:rPr>
              <w:t xml:space="preserve">) обособленно выделить </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E2328E" w:rsidRDefault="007A5619" w:rsidP="00E2328E">
            <w:pPr>
              <w:tabs>
                <w:tab w:val="left" w:pos="1276"/>
              </w:tabs>
              <w:suppressAutoHyphens/>
              <w:autoSpaceDE w:val="0"/>
              <w:autoSpaceDN w:val="0"/>
              <w:adjustRightInd w:val="0"/>
              <w:spacing w:after="0" w:line="240" w:lineRule="auto"/>
              <w:rPr>
                <w:rFonts w:ascii="Times New Roman" w:hAnsi="Times New Roman" w:cs="Times New Roman"/>
              </w:rPr>
            </w:pP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hAnsi="Times New Roman" w:cs="Times New Roman"/>
              </w:rPr>
              <w:t>полуфабрикаты собственного производства</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Нельзя упоминать в составе Незавершенного производства, выделяется наравне  с Готовой продукцией.</w:t>
            </w:r>
          </w:p>
        </w:tc>
        <w:tc>
          <w:tcPr>
            <w:tcW w:w="2874" w:type="dxa"/>
            <w:tcBorders>
              <w:top w:val="single" w:sz="6" w:space="0" w:color="555555"/>
              <w:left w:val="single" w:sz="6" w:space="0" w:color="555555"/>
              <w:bottom w:val="single" w:sz="6" w:space="0" w:color="555555"/>
              <w:right w:val="single" w:sz="6" w:space="0" w:color="555555"/>
            </w:tcBorders>
            <w:vAlign w:val="center"/>
          </w:tcPr>
          <w:p w:rsidR="007A5619" w:rsidRPr="007A5619" w:rsidRDefault="00A944C1"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Достаточно указания в одном подпункте с НЗП. Обособление нецелесообразно.</w:t>
            </w:r>
          </w:p>
        </w:tc>
      </w:tr>
      <w:tr w:rsidR="00A944C1"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A944C1" w:rsidRPr="00A02497" w:rsidRDefault="00A944C1"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3</w:t>
            </w: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A944C1" w:rsidRPr="00A02497" w:rsidRDefault="00A944C1" w:rsidP="00A02497">
            <w:pPr>
              <w:spacing w:after="0" w:line="240" w:lineRule="auto"/>
              <w:rPr>
                <w:rFonts w:ascii="Times New Roman" w:eastAsia="Times New Roman" w:hAnsi="Times New Roman" w:cs="Times New Roman"/>
                <w:color w:val="000000"/>
                <w:lang w:eastAsia="ru-RU"/>
              </w:rPr>
            </w:pPr>
            <w:proofErr w:type="spellStart"/>
            <w:r w:rsidRPr="00A02497">
              <w:rPr>
                <w:rFonts w:ascii="Times New Roman" w:eastAsia="Times New Roman" w:hAnsi="Times New Roman" w:cs="Times New Roman"/>
                <w:color w:val="000000"/>
                <w:lang w:eastAsia="ru-RU"/>
              </w:rPr>
              <w:t>Пп</w:t>
            </w:r>
            <w:proofErr w:type="gramStart"/>
            <w:r w:rsidRPr="00A02497">
              <w:rPr>
                <w:rFonts w:ascii="Times New Roman" w:eastAsia="Times New Roman" w:hAnsi="Times New Roman" w:cs="Times New Roman"/>
                <w:color w:val="000000"/>
                <w:lang w:eastAsia="ru-RU"/>
              </w:rPr>
              <w:t>.ж</w:t>
            </w:r>
            <w:proofErr w:type="spellEnd"/>
            <w:proofErr w:type="gramEnd"/>
            <w:r w:rsidRPr="00A02497">
              <w:rPr>
                <w:rFonts w:ascii="Times New Roman" w:eastAsia="Times New Roman" w:hAnsi="Times New Roman" w:cs="Times New Roman"/>
                <w:color w:val="000000"/>
                <w:lang w:eastAsia="ru-RU"/>
              </w:rPr>
              <w:t>)</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A944C1" w:rsidRPr="00E2328E" w:rsidRDefault="00A944C1" w:rsidP="00E2328E">
            <w:pPr>
              <w:tabs>
                <w:tab w:val="left" w:pos="1276"/>
              </w:tabs>
              <w:suppressAutoHyphens/>
              <w:autoSpaceDE w:val="0"/>
              <w:autoSpaceDN w:val="0"/>
              <w:adjustRightInd w:val="0"/>
              <w:spacing w:after="0" w:line="240" w:lineRule="auto"/>
              <w:rPr>
                <w:rFonts w:ascii="Times New Roman" w:hAnsi="Times New Roman" w:cs="Times New Roman"/>
              </w:rPr>
            </w:pPr>
            <w:r w:rsidRPr="00A02497">
              <w:rPr>
                <w:rFonts w:ascii="Times New Roman" w:hAnsi="Times New Roman" w:cs="Times New Roman"/>
              </w:rPr>
              <w:t>переданные покупателю (перевозчику) товары, продукция, в отношении которых организация еще не признала соответствующую выручку;</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A944C1" w:rsidRPr="00A02497" w:rsidRDefault="00A944C1" w:rsidP="00A02497">
            <w:pPr>
              <w:spacing w:after="0" w:line="240" w:lineRule="auto"/>
              <w:rPr>
                <w:rFonts w:ascii="Times New Roman" w:eastAsia="Times New Roman" w:hAnsi="Times New Roman" w:cs="Times New Roman"/>
                <w:color w:val="000000"/>
                <w:lang w:eastAsia="ru-RU"/>
              </w:rPr>
            </w:pPr>
            <w:r w:rsidRPr="00A02497">
              <w:rPr>
                <w:rFonts w:ascii="Times New Roman" w:hAnsi="Times New Roman" w:cs="Times New Roman"/>
              </w:rPr>
              <w:t>Товары отгруженные следует переместить/расположить после п.г).</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A944C1" w:rsidRPr="00A02497" w:rsidRDefault="00A944C1" w:rsidP="00A02497">
            <w:pPr>
              <w:spacing w:after="0" w:line="240" w:lineRule="auto"/>
              <w:rPr>
                <w:rFonts w:ascii="Times New Roman" w:eastAsia="Times New Roman" w:hAnsi="Times New Roman" w:cs="Times New Roman"/>
                <w:color w:val="000000"/>
                <w:lang w:eastAsia="ru-RU"/>
              </w:rPr>
            </w:pPr>
          </w:p>
        </w:tc>
        <w:tc>
          <w:tcPr>
            <w:tcW w:w="2874" w:type="dxa"/>
            <w:tcBorders>
              <w:top w:val="single" w:sz="6" w:space="0" w:color="555555"/>
              <w:left w:val="single" w:sz="6" w:space="0" w:color="555555"/>
              <w:bottom w:val="single" w:sz="6" w:space="0" w:color="555555"/>
              <w:right w:val="single" w:sz="6" w:space="0" w:color="555555"/>
            </w:tcBorders>
            <w:vAlign w:val="center"/>
          </w:tcPr>
          <w:p w:rsidR="00A944C1" w:rsidRPr="007A5619" w:rsidRDefault="00A944C1"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Учтено (</w:t>
            </w:r>
            <w:proofErr w:type="spellStart"/>
            <w:r>
              <w:rPr>
                <w:rFonts w:ascii="Arial Narrow" w:eastAsia="Times New Roman" w:hAnsi="Arial Narrow" w:cs="Times New Roman"/>
                <w:color w:val="0070C0"/>
                <w:sz w:val="20"/>
                <w:lang w:eastAsia="ru-RU"/>
              </w:rPr>
              <w:t>пп</w:t>
            </w:r>
            <w:proofErr w:type="spellEnd"/>
            <w:proofErr w:type="gramStart"/>
            <w:r>
              <w:rPr>
                <w:rFonts w:ascii="Arial Narrow" w:eastAsia="Times New Roman" w:hAnsi="Arial Narrow" w:cs="Times New Roman"/>
                <w:color w:val="0070C0"/>
                <w:sz w:val="20"/>
                <w:lang w:eastAsia="ru-RU"/>
              </w:rPr>
              <w:t>.«</w:t>
            </w:r>
            <w:proofErr w:type="gramEnd"/>
            <w:r>
              <w:rPr>
                <w:rFonts w:ascii="Arial Narrow" w:eastAsia="Times New Roman" w:hAnsi="Arial Narrow" w:cs="Times New Roman"/>
                <w:color w:val="0070C0"/>
                <w:sz w:val="20"/>
                <w:lang w:eastAsia="ru-RU"/>
              </w:rPr>
              <w:t>г» п.3)</w:t>
            </w:r>
          </w:p>
        </w:tc>
      </w:tr>
      <w:tr w:rsidR="007A5619"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4.</w:t>
            </w: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E2328E" w:rsidRDefault="007A5619" w:rsidP="00E2328E">
            <w:pPr>
              <w:tabs>
                <w:tab w:val="left" w:pos="1276"/>
              </w:tabs>
              <w:suppressAutoHyphens/>
              <w:autoSpaceDE w:val="0"/>
              <w:autoSpaceDN w:val="0"/>
              <w:adjustRightInd w:val="0"/>
              <w:spacing w:after="0" w:line="240" w:lineRule="auto"/>
              <w:rPr>
                <w:rFonts w:ascii="Times New Roman" w:hAnsi="Times New Roman" w:cs="Times New Roman"/>
              </w:rPr>
            </w:pP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hAnsi="Times New Roman" w:cs="Times New Roman"/>
              </w:rPr>
            </w:pPr>
            <w:r w:rsidRPr="00A02497">
              <w:rPr>
                <w:rFonts w:ascii="Times New Roman" w:hAnsi="Times New Roman" w:cs="Times New Roman"/>
              </w:rPr>
              <w:t xml:space="preserve">Незавершенного производства, предлагаем сделать единым пунктом: </w:t>
            </w:r>
            <w:proofErr w:type="gramStart"/>
            <w:r w:rsidRPr="00A02497">
              <w:rPr>
                <w:rFonts w:ascii="Times New Roman" w:hAnsi="Times New Roman" w:cs="Times New Roman"/>
              </w:rPr>
              <w:t>Незавершенное производство: затраты, понесенные на производство продукции, не прошедшей всех стадий (фаз, переделов), предусмотренных технологическим процессом, на выполнение работ, оказание услуг, в отношении которых организация еще не признала соответствующую выручку, объекты интеллектуальной собственности, приобретенные или созданные (находящиеся в процессе создания), объекты недвижимого имущества, приобретенные или созданные (находящиеся в процессе создания) для целей продажи в ходе обычной деятельности организации.</w:t>
            </w:r>
            <w:proofErr w:type="gramEnd"/>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Вид запаса один, разная отраслевая специфика.</w:t>
            </w:r>
          </w:p>
        </w:tc>
        <w:tc>
          <w:tcPr>
            <w:tcW w:w="2874" w:type="dxa"/>
            <w:tcBorders>
              <w:top w:val="single" w:sz="6" w:space="0" w:color="555555"/>
              <w:left w:val="single" w:sz="6" w:space="0" w:color="555555"/>
              <w:bottom w:val="single" w:sz="6" w:space="0" w:color="555555"/>
              <w:right w:val="single" w:sz="6" w:space="0" w:color="555555"/>
            </w:tcBorders>
            <w:vAlign w:val="center"/>
          </w:tcPr>
          <w:p w:rsidR="007A5619" w:rsidRPr="007A5619" w:rsidRDefault="008E74F9"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Разделение на подпункты лучше сохранить с целью облегчения пользования Стандартом</w:t>
            </w:r>
          </w:p>
        </w:tc>
      </w:tr>
      <w:tr w:rsidR="007A5619"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П.7</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E2328E">
            <w:pPr>
              <w:tabs>
                <w:tab w:val="left" w:pos="1276"/>
              </w:tabs>
              <w:suppressAutoHyphens/>
              <w:autoSpaceDE w:val="0"/>
              <w:autoSpaceDN w:val="0"/>
              <w:adjustRightInd w:val="0"/>
              <w:spacing w:after="0" w:line="240" w:lineRule="auto"/>
              <w:rPr>
                <w:rFonts w:ascii="Times New Roman" w:hAnsi="Times New Roman" w:cs="Times New Roman"/>
              </w:rPr>
            </w:pPr>
            <w:proofErr w:type="gramStart"/>
            <w:r w:rsidRPr="00A02497">
              <w:rPr>
                <w:rFonts w:ascii="Times New Roman" w:hAnsi="Times New Roman" w:cs="Times New Roman"/>
              </w:rPr>
              <w:t xml:space="preserve">В целях настоящего Стандарта к осуществлению организацией затрат приравнивается выпуск ею собственных долевых инструментов (эмиссия акций, увеличение уставного (складочного) </w:t>
            </w:r>
            <w:r w:rsidRPr="00A02497">
              <w:rPr>
                <w:rFonts w:ascii="Times New Roman" w:hAnsi="Times New Roman" w:cs="Times New Roman"/>
              </w:rPr>
              <w:lastRenderedPageBreak/>
              <w:t>капитала, уставного (паевого) фонда и т.п.), а также получение некоммерческой организацией имущества в качестве целевого финансирования или безвозмездное получение коммерческой организацией имущества от ее акционеров, собственников, участников, учредителей (в том числе при передаче государственного или муниципального имущества унитарному предприятию), вне</w:t>
            </w:r>
            <w:proofErr w:type="gramEnd"/>
            <w:r w:rsidRPr="00A02497">
              <w:rPr>
                <w:rFonts w:ascii="Times New Roman" w:hAnsi="Times New Roman" w:cs="Times New Roman"/>
              </w:rPr>
              <w:t xml:space="preserve"> зависимости от изменений при этом уставного (складочного) капитала, уставного (паевого) фонда.</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hAnsi="Times New Roman" w:cs="Times New Roman"/>
              </w:rPr>
            </w:pP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Переформулировать, не ясен экономический смысл.</w:t>
            </w:r>
          </w:p>
        </w:tc>
        <w:tc>
          <w:tcPr>
            <w:tcW w:w="2874" w:type="dxa"/>
            <w:tcBorders>
              <w:top w:val="single" w:sz="6" w:space="0" w:color="555555"/>
              <w:left w:val="single" w:sz="6" w:space="0" w:color="555555"/>
              <w:bottom w:val="single" w:sz="6" w:space="0" w:color="555555"/>
              <w:right w:val="single" w:sz="6" w:space="0" w:color="555555"/>
            </w:tcBorders>
            <w:vAlign w:val="center"/>
          </w:tcPr>
          <w:p w:rsidR="008E74F9" w:rsidRDefault="008E74F9" w:rsidP="008E74F9">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Указанные в пункте</w:t>
            </w:r>
            <w:r w:rsidRPr="008E74F9">
              <w:rPr>
                <w:rFonts w:ascii="Arial Narrow" w:eastAsia="Times New Roman" w:hAnsi="Arial Narrow" w:cs="Times New Roman"/>
                <w:color w:val="0070C0"/>
                <w:sz w:val="20"/>
                <w:lang w:eastAsia="ru-RU"/>
              </w:rPr>
              <w:t xml:space="preserve"> операции аналогичны возникновению обязательств</w:t>
            </w:r>
            <w:r>
              <w:rPr>
                <w:rFonts w:ascii="Arial Narrow" w:eastAsia="Times New Roman" w:hAnsi="Arial Narrow" w:cs="Times New Roman"/>
                <w:color w:val="0070C0"/>
                <w:sz w:val="20"/>
                <w:lang w:eastAsia="ru-RU"/>
              </w:rPr>
              <w:t>а пред поставщиком при получении от него товаров.</w:t>
            </w:r>
            <w:r w:rsidRPr="008E74F9">
              <w:rPr>
                <w:rFonts w:ascii="Arial Narrow" w:eastAsia="Times New Roman" w:hAnsi="Arial Narrow" w:cs="Times New Roman"/>
                <w:color w:val="0070C0"/>
                <w:sz w:val="20"/>
                <w:lang w:eastAsia="ru-RU"/>
              </w:rPr>
              <w:t xml:space="preserve"> </w:t>
            </w:r>
            <w:r>
              <w:rPr>
                <w:rFonts w:ascii="Arial Narrow" w:eastAsia="Times New Roman" w:hAnsi="Arial Narrow" w:cs="Times New Roman"/>
                <w:color w:val="0070C0"/>
                <w:sz w:val="20"/>
                <w:lang w:eastAsia="ru-RU"/>
              </w:rPr>
              <w:t xml:space="preserve">Единственное различие в том, что </w:t>
            </w:r>
            <w:r w:rsidRPr="008E74F9">
              <w:rPr>
                <w:rFonts w:ascii="Arial Narrow" w:eastAsia="Times New Roman" w:hAnsi="Arial Narrow" w:cs="Times New Roman"/>
                <w:color w:val="0070C0"/>
                <w:sz w:val="20"/>
                <w:lang w:eastAsia="ru-RU"/>
              </w:rPr>
              <w:lastRenderedPageBreak/>
              <w:t>вместо обязательств образуется другой вид пассива.</w:t>
            </w:r>
          </w:p>
          <w:p w:rsidR="007A5619" w:rsidRPr="007A5619" w:rsidRDefault="008E74F9" w:rsidP="008E74F9">
            <w:pPr>
              <w:spacing w:after="0" w:line="240" w:lineRule="auto"/>
              <w:ind w:left="39"/>
              <w:rPr>
                <w:rFonts w:ascii="Arial Narrow" w:eastAsia="Times New Roman" w:hAnsi="Arial Narrow" w:cs="Times New Roman"/>
                <w:color w:val="0070C0"/>
                <w:sz w:val="20"/>
                <w:lang w:eastAsia="ru-RU"/>
              </w:rPr>
            </w:pPr>
            <w:r w:rsidRPr="008E74F9">
              <w:rPr>
                <w:rFonts w:ascii="Arial Narrow" w:eastAsia="Times New Roman" w:hAnsi="Arial Narrow" w:cs="Times New Roman"/>
                <w:color w:val="0070C0"/>
                <w:sz w:val="20"/>
                <w:lang w:eastAsia="ru-RU"/>
              </w:rPr>
              <w:t>В Концептуальных основах МСФО и те, и другие обозначаются одним термином «</w:t>
            </w:r>
            <w:proofErr w:type="spellStart"/>
            <w:r w:rsidRPr="008E74F9">
              <w:rPr>
                <w:rFonts w:ascii="Arial Narrow" w:eastAsia="Times New Roman" w:hAnsi="Arial Narrow" w:cs="Times New Roman"/>
                <w:color w:val="0070C0"/>
                <w:sz w:val="20"/>
                <w:lang w:eastAsia="ru-RU"/>
              </w:rPr>
              <w:t>claims</w:t>
            </w:r>
            <w:proofErr w:type="spellEnd"/>
            <w:r w:rsidRPr="008E74F9">
              <w:rPr>
                <w:rFonts w:ascii="Arial Narrow" w:eastAsia="Times New Roman" w:hAnsi="Arial Narrow" w:cs="Times New Roman"/>
                <w:color w:val="0070C0"/>
                <w:sz w:val="20"/>
                <w:lang w:eastAsia="ru-RU"/>
              </w:rPr>
              <w:t>», что можно перевести как «требования к компании». Возникновение таких дополнительных требований к компании (пассивов) является затрат</w:t>
            </w:r>
            <w:r>
              <w:rPr>
                <w:rFonts w:ascii="Arial Narrow" w:eastAsia="Times New Roman" w:hAnsi="Arial Narrow" w:cs="Times New Roman"/>
                <w:color w:val="0070C0"/>
                <w:sz w:val="20"/>
                <w:lang w:eastAsia="ru-RU"/>
              </w:rPr>
              <w:t>ами (в МСФО – «</w:t>
            </w:r>
            <w:r>
              <w:rPr>
                <w:rFonts w:ascii="Arial Narrow" w:eastAsia="Times New Roman" w:hAnsi="Arial Narrow" w:cs="Times New Roman"/>
                <w:color w:val="0070C0"/>
                <w:sz w:val="20"/>
                <w:lang w:val="en-US" w:eastAsia="ru-RU"/>
              </w:rPr>
              <w:t>cost</w:t>
            </w:r>
            <w:r>
              <w:rPr>
                <w:rFonts w:ascii="Arial Narrow" w:eastAsia="Times New Roman" w:hAnsi="Arial Narrow" w:cs="Times New Roman"/>
                <w:color w:val="0070C0"/>
                <w:sz w:val="20"/>
                <w:lang w:eastAsia="ru-RU"/>
              </w:rPr>
              <w:t>»</w:t>
            </w:r>
            <w:r w:rsidRPr="008E74F9">
              <w:rPr>
                <w:rFonts w:ascii="Arial Narrow" w:eastAsia="Times New Roman" w:hAnsi="Arial Narrow" w:cs="Times New Roman"/>
                <w:color w:val="0070C0"/>
                <w:sz w:val="20"/>
                <w:lang w:eastAsia="ru-RU"/>
              </w:rPr>
              <w:t>)</w:t>
            </w:r>
            <w:r w:rsidRPr="008E74F9">
              <w:rPr>
                <w:rFonts w:ascii="Arial Narrow" w:eastAsia="Times New Roman" w:hAnsi="Arial Narrow" w:cs="Times New Roman"/>
                <w:color w:val="0070C0"/>
                <w:sz w:val="20"/>
                <w:lang w:eastAsia="ru-RU"/>
              </w:rPr>
              <w:t>, независимо от того, как эти пассивы классифицируются, как обязательства или как капитал.</w:t>
            </w:r>
          </w:p>
        </w:tc>
      </w:tr>
      <w:tr w:rsidR="007A5619"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lastRenderedPageBreak/>
              <w:t>12</w:t>
            </w: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П.12</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E2328E">
            <w:pPr>
              <w:tabs>
                <w:tab w:val="left" w:pos="1276"/>
              </w:tabs>
              <w:suppressAutoHyphens/>
              <w:autoSpaceDE w:val="0"/>
              <w:autoSpaceDN w:val="0"/>
              <w:adjustRightInd w:val="0"/>
              <w:spacing w:after="0" w:line="240" w:lineRule="auto"/>
              <w:rPr>
                <w:rFonts w:ascii="Times New Roman" w:hAnsi="Times New Roman" w:cs="Times New Roman"/>
              </w:rPr>
            </w:pPr>
            <w:r w:rsidRPr="00A02497">
              <w:rPr>
                <w:rFonts w:ascii="Times New Roman" w:hAnsi="Times New Roman" w:cs="Times New Roman"/>
              </w:rPr>
              <w:t>Суммы, уплаченные и (или) подлежащие уплате поставщику, включаются в себестоимость запасов с учетом всех скидок, уступок, премий, и иных поощрений, предоставляемых организации в связи с приобретением запасов, вне зависимости от формы их предоставления.</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pStyle w:val="a4"/>
              <w:rPr>
                <w:rFonts w:ascii="Times New Roman" w:hAnsi="Times New Roman" w:cs="Times New Roman"/>
                <w:sz w:val="22"/>
                <w:szCs w:val="22"/>
              </w:rPr>
            </w:pPr>
            <w:r w:rsidRPr="00A02497">
              <w:rPr>
                <w:rFonts w:ascii="Times New Roman" w:hAnsi="Times New Roman" w:cs="Times New Roman"/>
                <w:sz w:val="22"/>
                <w:szCs w:val="22"/>
              </w:rPr>
              <w:t xml:space="preserve">предлагаем исключить "премий и иных поощрений". </w:t>
            </w:r>
          </w:p>
          <w:p w:rsidR="007A5619" w:rsidRPr="00A02497" w:rsidRDefault="007A5619" w:rsidP="00A02497">
            <w:pPr>
              <w:spacing w:after="0" w:line="240" w:lineRule="auto"/>
              <w:rPr>
                <w:rFonts w:ascii="Times New Roman" w:hAnsi="Times New Roman" w:cs="Times New Roman"/>
              </w:rPr>
            </w:pP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hAnsi="Times New Roman" w:cs="Times New Roman"/>
              </w:rPr>
              <w:t>Предполагается, что Премии за объем закупок, регламентированные Законом о торговле будут существовать и в 2017 году и возможно далее. Такое положения породит противоречие, поскольку целиком по МСФО пока не действуем.</w:t>
            </w:r>
          </w:p>
        </w:tc>
        <w:tc>
          <w:tcPr>
            <w:tcW w:w="2874" w:type="dxa"/>
            <w:tcBorders>
              <w:top w:val="single" w:sz="6" w:space="0" w:color="555555"/>
              <w:left w:val="single" w:sz="6" w:space="0" w:color="555555"/>
              <w:bottom w:val="single" w:sz="6" w:space="0" w:color="555555"/>
              <w:right w:val="single" w:sz="6" w:space="0" w:color="555555"/>
            </w:tcBorders>
            <w:vAlign w:val="center"/>
          </w:tcPr>
          <w:p w:rsidR="007A5619" w:rsidRDefault="008E74F9" w:rsidP="00A944C1">
            <w:pPr>
              <w:spacing w:after="0" w:line="240" w:lineRule="auto"/>
              <w:ind w:left="39"/>
              <w:rPr>
                <w:rFonts w:ascii="Arial Narrow" w:hAnsi="Arial Narrow" w:cs="Times New Roman"/>
                <w:color w:val="0070C0"/>
                <w:sz w:val="20"/>
              </w:rPr>
            </w:pPr>
            <w:r>
              <w:rPr>
                <w:rFonts w:ascii="Arial Narrow" w:hAnsi="Arial Narrow" w:cs="Times New Roman"/>
                <w:color w:val="0070C0"/>
                <w:sz w:val="20"/>
              </w:rPr>
              <w:t>Противоречия не усматривается.</w:t>
            </w:r>
          </w:p>
          <w:p w:rsidR="008E74F9" w:rsidRPr="007A5619" w:rsidRDefault="008E74F9" w:rsidP="00A944C1">
            <w:pPr>
              <w:spacing w:after="0" w:line="240" w:lineRule="auto"/>
              <w:ind w:left="39"/>
              <w:rPr>
                <w:rFonts w:ascii="Arial Narrow" w:hAnsi="Arial Narrow" w:cs="Times New Roman"/>
                <w:color w:val="0070C0"/>
                <w:sz w:val="20"/>
              </w:rPr>
            </w:pPr>
            <w:r>
              <w:rPr>
                <w:rFonts w:ascii="Arial Narrow" w:hAnsi="Arial Narrow" w:cs="Times New Roman"/>
                <w:color w:val="0070C0"/>
                <w:sz w:val="20"/>
              </w:rPr>
              <w:t>Напротив, риск противоречий возникнет при удалении этих слов.</w:t>
            </w:r>
            <w:r w:rsidR="00733130">
              <w:rPr>
                <w:rFonts w:ascii="Arial Narrow" w:hAnsi="Arial Narrow"/>
                <w:color w:val="0070C0"/>
                <w:sz w:val="20"/>
                <w:szCs w:val="20"/>
              </w:rPr>
              <w:t xml:space="preserve"> </w:t>
            </w:r>
            <w:r w:rsidR="00733130">
              <w:rPr>
                <w:rFonts w:ascii="Arial Narrow" w:hAnsi="Arial Narrow"/>
                <w:color w:val="0070C0"/>
                <w:sz w:val="20"/>
                <w:szCs w:val="20"/>
              </w:rPr>
              <w:t>Решение данного вопроса недопустимо ставить в зависимость от формы (т.е. от слов, которые напишут стороны в договоре, вне контекста содержательных положений договора).</w:t>
            </w:r>
          </w:p>
        </w:tc>
      </w:tr>
      <w:tr w:rsidR="007A5619"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П.15</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E2328E">
            <w:pPr>
              <w:tabs>
                <w:tab w:val="left" w:pos="1276"/>
              </w:tabs>
              <w:suppressAutoHyphens/>
              <w:autoSpaceDE w:val="0"/>
              <w:autoSpaceDN w:val="0"/>
              <w:adjustRightInd w:val="0"/>
              <w:spacing w:after="0" w:line="240" w:lineRule="auto"/>
              <w:rPr>
                <w:rFonts w:ascii="Times New Roman" w:hAnsi="Times New Roman" w:cs="Times New Roman"/>
              </w:rPr>
            </w:pPr>
            <w:r w:rsidRPr="008E74F9">
              <w:rPr>
                <w:rFonts w:ascii="Times New Roman" w:hAnsi="Times New Roman" w:cs="Times New Roman"/>
              </w:rPr>
              <w:t>Себестоимостью запасов, которые коммерческая организация получает от своих акционеров, собственников, участников, учредителей (в том числе при передаче государственного или муниципального имущества унитарному предприятию) или некоммерческая организация получает в качестве целевого финансирования, считается их рыночная стоимость. В случае невозможности определения указанной стоимости запасы не признаются в связи с несоблюдением условия признания, предусмотренного пунктом 8 настоящего Стандарта.</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pStyle w:val="a4"/>
              <w:rPr>
                <w:rFonts w:ascii="Times New Roman" w:hAnsi="Times New Roman" w:cs="Times New Roman"/>
                <w:sz w:val="22"/>
                <w:szCs w:val="22"/>
              </w:rPr>
            </w:pPr>
            <w:r w:rsidRPr="00A02497">
              <w:rPr>
                <w:rFonts w:ascii="Times New Roman" w:eastAsia="Times New Roman" w:hAnsi="Times New Roman" w:cs="Times New Roman"/>
                <w:color w:val="000000"/>
                <w:sz w:val="22"/>
                <w:szCs w:val="22"/>
                <w:lang w:eastAsia="ru-RU"/>
              </w:rPr>
              <w:t>Уточнить формулировку, в каком порядке такие запасы подлежат учету.</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A5619" w:rsidRPr="00A02497" w:rsidRDefault="007A5619" w:rsidP="00A02497">
            <w:pPr>
              <w:spacing w:after="0" w:line="240" w:lineRule="auto"/>
              <w:rPr>
                <w:rFonts w:ascii="Times New Roman" w:eastAsia="Times New Roman" w:hAnsi="Times New Roman" w:cs="Times New Roman"/>
                <w:color w:val="000000"/>
                <w:lang w:eastAsia="ru-RU"/>
              </w:rPr>
            </w:pPr>
            <w:r w:rsidRPr="00A02497">
              <w:rPr>
                <w:rFonts w:ascii="Times New Roman" w:hAnsi="Times New Roman" w:cs="Times New Roman"/>
              </w:rPr>
              <w:t>Если запасы не признаются, это неучтенная операция? А как же основной  принцип бухгалтерского учета – сплошное документирование?</w:t>
            </w:r>
          </w:p>
        </w:tc>
        <w:tc>
          <w:tcPr>
            <w:tcW w:w="2874" w:type="dxa"/>
            <w:tcBorders>
              <w:top w:val="single" w:sz="6" w:space="0" w:color="555555"/>
              <w:left w:val="single" w:sz="6" w:space="0" w:color="555555"/>
              <w:bottom w:val="single" w:sz="6" w:space="0" w:color="555555"/>
              <w:right w:val="single" w:sz="6" w:space="0" w:color="555555"/>
            </w:tcBorders>
            <w:vAlign w:val="center"/>
          </w:tcPr>
          <w:p w:rsidR="007A5619" w:rsidRPr="007A5619" w:rsidRDefault="00E10C01" w:rsidP="003A351D">
            <w:pPr>
              <w:spacing w:after="0" w:line="240" w:lineRule="auto"/>
              <w:ind w:left="39"/>
              <w:rPr>
                <w:rFonts w:ascii="Arial Narrow" w:hAnsi="Arial Narrow" w:cs="Times New Roman"/>
                <w:color w:val="0070C0"/>
                <w:sz w:val="20"/>
              </w:rPr>
            </w:pPr>
            <w:r>
              <w:rPr>
                <w:rFonts w:ascii="Arial Narrow" w:hAnsi="Arial Narrow" w:cs="Times New Roman"/>
                <w:color w:val="0070C0"/>
                <w:sz w:val="20"/>
              </w:rPr>
              <w:t xml:space="preserve">Если </w:t>
            </w:r>
            <w:r w:rsidR="003A351D">
              <w:rPr>
                <w:rFonts w:ascii="Arial Narrow" w:hAnsi="Arial Narrow" w:cs="Times New Roman"/>
                <w:color w:val="0070C0"/>
                <w:sz w:val="20"/>
              </w:rPr>
              <w:t xml:space="preserve">нет никаких </w:t>
            </w:r>
            <w:r w:rsidR="003A351D">
              <w:rPr>
                <w:rFonts w:ascii="Arial Narrow" w:hAnsi="Arial Narrow" w:cs="Times New Roman"/>
                <w:color w:val="0070C0"/>
                <w:sz w:val="20"/>
              </w:rPr>
              <w:t xml:space="preserve">затрат и при этом </w:t>
            </w:r>
            <w:r>
              <w:rPr>
                <w:rFonts w:ascii="Arial Narrow" w:hAnsi="Arial Narrow" w:cs="Times New Roman"/>
                <w:color w:val="0070C0"/>
                <w:sz w:val="20"/>
              </w:rPr>
              <w:t>невозможно определить справедливую стоимость, значит невозможно идентифицировать выгоды, которые</w:t>
            </w:r>
            <w:r w:rsidR="003A351D">
              <w:rPr>
                <w:rFonts w:ascii="Arial Narrow" w:hAnsi="Arial Narrow" w:cs="Times New Roman"/>
                <w:color w:val="0070C0"/>
                <w:sz w:val="20"/>
              </w:rPr>
              <w:t xml:space="preserve"> этот объект принесет. Следовательно, то, что получила организация, не может быть признано активом, в частности запасом. В таком случае только учет за балансом.</w:t>
            </w:r>
          </w:p>
        </w:tc>
      </w:tr>
      <w:tr w:rsidR="00733130"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eastAsia="Times New Roman" w:hAnsi="Times New Roman" w:cs="Times New Roman"/>
                <w:color w:val="000000"/>
                <w:lang w:eastAsia="ru-RU"/>
              </w:rPr>
            </w:pP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П.20</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E2328E">
            <w:pPr>
              <w:tabs>
                <w:tab w:val="left" w:pos="1276"/>
              </w:tabs>
              <w:suppressAutoHyphens/>
              <w:autoSpaceDE w:val="0"/>
              <w:autoSpaceDN w:val="0"/>
              <w:adjustRightInd w:val="0"/>
              <w:spacing w:after="0" w:line="240" w:lineRule="auto"/>
              <w:rPr>
                <w:rFonts w:ascii="Times New Roman" w:hAnsi="Times New Roman" w:cs="Times New Roman"/>
              </w:rPr>
            </w:pPr>
            <w:r w:rsidRPr="00A02497">
              <w:rPr>
                <w:rFonts w:ascii="Times New Roman" w:hAnsi="Times New Roman" w:cs="Times New Roman"/>
              </w:rPr>
              <w:t>В себестоимость запасов не включаются:</w:t>
            </w:r>
          </w:p>
          <w:p w:rsidR="00733130" w:rsidRPr="00A02497" w:rsidRDefault="00733130" w:rsidP="00E2328E">
            <w:pPr>
              <w:pStyle w:val="a8"/>
              <w:numPr>
                <w:ilvl w:val="0"/>
                <w:numId w:val="3"/>
              </w:numPr>
              <w:tabs>
                <w:tab w:val="left" w:pos="1134"/>
              </w:tabs>
              <w:suppressAutoHyphens/>
              <w:autoSpaceDE w:val="0"/>
              <w:autoSpaceDN w:val="0"/>
              <w:adjustRightInd w:val="0"/>
              <w:spacing w:after="0" w:line="240" w:lineRule="auto"/>
              <w:ind w:left="0" w:firstLine="709"/>
              <w:rPr>
                <w:rFonts w:ascii="Times New Roman" w:hAnsi="Times New Roman" w:cs="Times New Roman"/>
              </w:rPr>
            </w:pPr>
            <w:r w:rsidRPr="00A02497">
              <w:rPr>
                <w:rFonts w:ascii="Times New Roman" w:hAnsi="Times New Roman" w:cs="Times New Roman"/>
              </w:rPr>
              <w:lastRenderedPageBreak/>
              <w:t>косвенные налоги, такие как налог на добавленную стоимость, акцизы, в случае если они подлежат возмещению в соответствии с законодательством;</w:t>
            </w:r>
          </w:p>
          <w:p w:rsidR="00733130" w:rsidRPr="00A02497" w:rsidRDefault="00733130" w:rsidP="00E2328E">
            <w:pPr>
              <w:pStyle w:val="a8"/>
              <w:numPr>
                <w:ilvl w:val="0"/>
                <w:numId w:val="3"/>
              </w:numPr>
              <w:tabs>
                <w:tab w:val="left" w:pos="1134"/>
              </w:tabs>
              <w:suppressAutoHyphens/>
              <w:autoSpaceDE w:val="0"/>
              <w:autoSpaceDN w:val="0"/>
              <w:adjustRightInd w:val="0"/>
              <w:spacing w:after="0" w:line="240" w:lineRule="auto"/>
              <w:ind w:left="0" w:firstLine="709"/>
              <w:rPr>
                <w:rFonts w:ascii="Times New Roman" w:hAnsi="Times New Roman" w:cs="Times New Roman"/>
              </w:rPr>
            </w:pPr>
            <w:r w:rsidRPr="00A02497">
              <w:rPr>
                <w:rFonts w:ascii="Times New Roman" w:hAnsi="Times New Roman" w:cs="Times New Roman"/>
              </w:rPr>
              <w:t>затраты, обусловленные ненадлежащей организацией производственного процесса, такие как сверхнормативный расход сырья, материалов, энергии, труда, потери от простоев, брака, нарушений трудовой и технологической дисциплины;</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E2328E">
            <w:pPr>
              <w:spacing w:after="0" w:line="240" w:lineRule="auto"/>
              <w:rPr>
                <w:rFonts w:ascii="Times New Roman" w:hAnsi="Times New Roman" w:cs="Times New Roman"/>
              </w:rPr>
            </w:pPr>
            <w:r w:rsidRPr="00A02497">
              <w:rPr>
                <w:rFonts w:ascii="Times New Roman" w:hAnsi="Times New Roman" w:cs="Times New Roman"/>
              </w:rPr>
              <w:lastRenderedPageBreak/>
              <w:t xml:space="preserve">Исключить </w:t>
            </w:r>
            <w:proofErr w:type="spellStart"/>
            <w:r w:rsidRPr="00A02497">
              <w:rPr>
                <w:rFonts w:ascii="Times New Roman" w:hAnsi="Times New Roman" w:cs="Times New Roman"/>
              </w:rPr>
              <w:t>пп</w:t>
            </w:r>
            <w:proofErr w:type="gramStart"/>
            <w:r w:rsidRPr="00A02497">
              <w:rPr>
                <w:rFonts w:ascii="Times New Roman" w:hAnsi="Times New Roman" w:cs="Times New Roman"/>
              </w:rPr>
              <w:t>.б</w:t>
            </w:r>
            <w:proofErr w:type="spellEnd"/>
            <w:proofErr w:type="gramEnd"/>
            <w:r w:rsidRPr="00A02497">
              <w:rPr>
                <w:rFonts w:ascii="Times New Roman" w:hAnsi="Times New Roman" w:cs="Times New Roman"/>
              </w:rPr>
              <w:t xml:space="preserve">) затраты, обусловленные </w:t>
            </w:r>
            <w:r w:rsidRPr="00A02497">
              <w:rPr>
                <w:rFonts w:ascii="Times New Roman" w:hAnsi="Times New Roman" w:cs="Times New Roman"/>
              </w:rPr>
              <w:lastRenderedPageBreak/>
              <w:t>ненадлежащей организацией производственного процесса, такие как сверхнормативный расход сырья, материалов, энергии, труда, потери от простоев, брака, нарушений трудовой и технологической дисциплины;</w:t>
            </w:r>
          </w:p>
          <w:p w:rsidR="00733130" w:rsidRPr="00A02497" w:rsidRDefault="00733130" w:rsidP="00E2328E">
            <w:pPr>
              <w:spacing w:after="0" w:line="240" w:lineRule="auto"/>
              <w:rPr>
                <w:rFonts w:ascii="Times New Roman" w:hAnsi="Times New Roman" w:cs="Times New Roman"/>
              </w:rPr>
            </w:pP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eastAsia="Times New Roman" w:hAnsi="Times New Roman" w:cs="Times New Roman"/>
                <w:color w:val="000000"/>
                <w:lang w:eastAsia="ru-RU"/>
              </w:rPr>
            </w:pPr>
            <w:r w:rsidRPr="00A02497">
              <w:rPr>
                <w:rFonts w:ascii="Times New Roman" w:hAnsi="Times New Roman" w:cs="Times New Roman"/>
              </w:rPr>
              <w:lastRenderedPageBreak/>
              <w:t xml:space="preserve">т.к. указанные затраты </w:t>
            </w:r>
            <w:r w:rsidRPr="00A02497">
              <w:rPr>
                <w:rFonts w:ascii="Times New Roman" w:hAnsi="Times New Roman" w:cs="Times New Roman"/>
              </w:rPr>
              <w:lastRenderedPageBreak/>
              <w:t>включаются в фактическую себестоимость Готовой продукции. В определении  указано себестоимость есть фактические затраты.</w:t>
            </w:r>
          </w:p>
        </w:tc>
        <w:tc>
          <w:tcPr>
            <w:tcW w:w="2874" w:type="dxa"/>
            <w:tcBorders>
              <w:top w:val="single" w:sz="6" w:space="0" w:color="555555"/>
              <w:left w:val="single" w:sz="6" w:space="0" w:color="555555"/>
              <w:bottom w:val="single" w:sz="6" w:space="0" w:color="555555"/>
              <w:right w:val="single" w:sz="6" w:space="0" w:color="555555"/>
            </w:tcBorders>
            <w:vAlign w:val="center"/>
          </w:tcPr>
          <w:p w:rsidR="00733130" w:rsidRPr="00683641" w:rsidRDefault="00733130" w:rsidP="00733130">
            <w:pPr>
              <w:rPr>
                <w:rFonts w:ascii="Arial Narrow" w:hAnsi="Arial Narrow"/>
                <w:color w:val="0070C0"/>
                <w:sz w:val="20"/>
                <w:szCs w:val="20"/>
              </w:rPr>
            </w:pPr>
            <w:r>
              <w:rPr>
                <w:rFonts w:ascii="Arial Narrow" w:hAnsi="Arial Narrow"/>
                <w:color w:val="0070C0"/>
                <w:sz w:val="20"/>
                <w:szCs w:val="20"/>
              </w:rPr>
              <w:lastRenderedPageBreak/>
              <w:t xml:space="preserve">Предлагаемое исключение будет </w:t>
            </w:r>
            <w:r>
              <w:rPr>
                <w:rFonts w:ascii="Arial Narrow" w:hAnsi="Arial Narrow"/>
                <w:color w:val="0070C0"/>
                <w:sz w:val="20"/>
                <w:szCs w:val="20"/>
              </w:rPr>
              <w:lastRenderedPageBreak/>
              <w:t>отступлением от МСФО и общепринятой мировой практики. Существующую в России практику включения таких затрат в себестоимость запасов необходимо исправить</w:t>
            </w:r>
            <w:proofErr w:type="gramStart"/>
            <w:r>
              <w:rPr>
                <w:rFonts w:ascii="Arial Narrow" w:hAnsi="Arial Narrow"/>
                <w:color w:val="0070C0"/>
                <w:sz w:val="20"/>
                <w:szCs w:val="20"/>
              </w:rPr>
              <w:t>.</w:t>
            </w:r>
            <w:proofErr w:type="gramEnd"/>
            <w:r>
              <w:rPr>
                <w:rFonts w:ascii="Arial Narrow" w:hAnsi="Arial Narrow"/>
                <w:color w:val="0070C0"/>
                <w:sz w:val="20"/>
                <w:szCs w:val="20"/>
              </w:rPr>
              <w:t xml:space="preserve"> Д</w:t>
            </w:r>
            <w:r>
              <w:rPr>
                <w:rFonts w:ascii="Arial Narrow" w:hAnsi="Arial Narrow"/>
                <w:color w:val="0070C0"/>
                <w:sz w:val="20"/>
                <w:szCs w:val="20"/>
              </w:rPr>
              <w:t>ля получения запасов</w:t>
            </w:r>
            <w:r>
              <w:rPr>
                <w:rFonts w:ascii="Arial Narrow" w:hAnsi="Arial Narrow"/>
                <w:color w:val="0070C0"/>
                <w:sz w:val="20"/>
                <w:szCs w:val="20"/>
              </w:rPr>
              <w:t xml:space="preserve"> необходимость в указанных затратах отсутствует, и в этом смысле их нельзя считать понесенными в связи с получением запасов.</w:t>
            </w:r>
          </w:p>
        </w:tc>
      </w:tr>
      <w:tr w:rsidR="00733130"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eastAsia="Times New Roman" w:hAnsi="Times New Roman" w:cs="Times New Roman"/>
                <w:color w:val="000000"/>
                <w:lang w:eastAsia="ru-RU"/>
              </w:rPr>
            </w:pP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П.23</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E2328E" w:rsidRDefault="00733130" w:rsidP="00E2328E">
            <w:pPr>
              <w:tabs>
                <w:tab w:val="left" w:pos="1276"/>
              </w:tabs>
              <w:suppressAutoHyphens/>
              <w:autoSpaceDE w:val="0"/>
              <w:autoSpaceDN w:val="0"/>
              <w:adjustRightInd w:val="0"/>
              <w:spacing w:after="0" w:line="240" w:lineRule="auto"/>
              <w:rPr>
                <w:rFonts w:ascii="Times New Roman" w:hAnsi="Times New Roman" w:cs="Times New Roman"/>
              </w:rPr>
            </w:pPr>
            <w:r w:rsidRPr="00A02497">
              <w:rPr>
                <w:rFonts w:ascii="Times New Roman" w:hAnsi="Times New Roman" w:cs="Times New Roman"/>
              </w:rPr>
              <w:t>Организации розничной торговли с большим объемом номенклатуры товаров вправе определять себестоимость товаров, используя вместо фактических затрат суммы, определяемые исходя из цен продажи товаров. При использовании данного способа организация определяет себестоимость товаров по ценам их продажи, уменьшенным на величину торговых наценок. При этом организация вправе учитывать торговую наценку обособленно от товаров, учитываемых по ценам их продажи. В таком случае в бухгалтерском балансе товары должны представляться за вычетом торговой наценки. Величина торговых наценок подлежит регулярному пересмотру в соответствии с текущими условиями закупки и продажи товаров.</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hAnsi="Times New Roman" w:cs="Times New Roman"/>
              </w:rPr>
            </w:pPr>
            <w:r w:rsidRPr="00A02497">
              <w:rPr>
                <w:rFonts w:ascii="Times New Roman" w:hAnsi="Times New Roman" w:cs="Times New Roman"/>
              </w:rPr>
              <w:t>Уместно прописать определение себестоимости товара в ценах закупки/ценах Поставщика и обособленный учет издержек обращени</w:t>
            </w:r>
            <w:proofErr w:type="gramStart"/>
            <w:r w:rsidRPr="00A02497">
              <w:rPr>
                <w:rFonts w:ascii="Times New Roman" w:hAnsi="Times New Roman" w:cs="Times New Roman"/>
              </w:rPr>
              <w:t>я-</w:t>
            </w:r>
            <w:proofErr w:type="gramEnd"/>
            <w:r w:rsidRPr="00A02497">
              <w:rPr>
                <w:rFonts w:ascii="Times New Roman" w:hAnsi="Times New Roman" w:cs="Times New Roman"/>
              </w:rPr>
              <w:t xml:space="preserve"> расходов на продажу.</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733130" w:rsidRPr="00A02497" w:rsidRDefault="00733130"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 xml:space="preserve">Метод не применяется в </w:t>
            </w:r>
            <w:proofErr w:type="gramStart"/>
            <w:r w:rsidRPr="00A02497">
              <w:rPr>
                <w:rFonts w:ascii="Times New Roman" w:eastAsia="Times New Roman" w:hAnsi="Times New Roman" w:cs="Times New Roman"/>
                <w:color w:val="000000"/>
                <w:lang w:eastAsia="ru-RU"/>
              </w:rPr>
              <w:t>бизнес-практике</w:t>
            </w:r>
            <w:proofErr w:type="gramEnd"/>
            <w:r w:rsidRPr="00A02497">
              <w:rPr>
                <w:rFonts w:ascii="Times New Roman" w:eastAsia="Times New Roman" w:hAnsi="Times New Roman" w:cs="Times New Roman"/>
                <w:color w:val="000000"/>
                <w:lang w:eastAsia="ru-RU"/>
              </w:rPr>
              <w:t>.</w:t>
            </w:r>
          </w:p>
        </w:tc>
        <w:tc>
          <w:tcPr>
            <w:tcW w:w="2874" w:type="dxa"/>
            <w:tcBorders>
              <w:top w:val="single" w:sz="6" w:space="0" w:color="555555"/>
              <w:left w:val="single" w:sz="6" w:space="0" w:color="555555"/>
              <w:bottom w:val="single" w:sz="6" w:space="0" w:color="555555"/>
              <w:right w:val="single" w:sz="6" w:space="0" w:color="555555"/>
            </w:tcBorders>
            <w:vAlign w:val="center"/>
          </w:tcPr>
          <w:p w:rsidR="00733130" w:rsidRDefault="008D1647"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Учет расходов на продажу не является предметом данного стандарта, за исключением указания на то, что они не включаются в себестоимость запасов (</w:t>
            </w:r>
            <w:proofErr w:type="spellStart"/>
            <w:r>
              <w:rPr>
                <w:rFonts w:ascii="Arial Narrow" w:eastAsia="Times New Roman" w:hAnsi="Arial Narrow" w:cs="Times New Roman"/>
                <w:color w:val="0070C0"/>
                <w:sz w:val="20"/>
                <w:lang w:eastAsia="ru-RU"/>
              </w:rPr>
              <w:t>пп</w:t>
            </w:r>
            <w:proofErr w:type="spellEnd"/>
            <w:proofErr w:type="gramStart"/>
            <w:r>
              <w:rPr>
                <w:rFonts w:ascii="Arial Narrow" w:eastAsia="Times New Roman" w:hAnsi="Arial Narrow" w:cs="Times New Roman"/>
                <w:color w:val="0070C0"/>
                <w:sz w:val="20"/>
                <w:lang w:eastAsia="ru-RU"/>
              </w:rPr>
              <w:t>.«</w:t>
            </w:r>
            <w:proofErr w:type="gramEnd"/>
            <w:r>
              <w:rPr>
                <w:rFonts w:ascii="Arial Narrow" w:eastAsia="Times New Roman" w:hAnsi="Arial Narrow" w:cs="Times New Roman"/>
                <w:color w:val="0070C0"/>
                <w:sz w:val="20"/>
                <w:lang w:eastAsia="ru-RU"/>
              </w:rPr>
              <w:t>ж» п.20)</w:t>
            </w:r>
          </w:p>
          <w:p w:rsidR="008D1647" w:rsidRPr="007A5619" w:rsidRDefault="008D1647"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В части оценки запасов дополнения в описание способа не требуются.</w:t>
            </w:r>
          </w:p>
        </w:tc>
      </w:tr>
      <w:tr w:rsidR="008D1647"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eastAsia="Times New Roman" w:hAnsi="Times New Roman" w:cs="Times New Roman"/>
                <w:color w:val="000000"/>
                <w:lang w:eastAsia="ru-RU"/>
              </w:rPr>
            </w:pP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П.30</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E2328E">
            <w:pPr>
              <w:tabs>
                <w:tab w:val="left" w:pos="1276"/>
              </w:tabs>
              <w:suppressAutoHyphens/>
              <w:autoSpaceDE w:val="0"/>
              <w:autoSpaceDN w:val="0"/>
              <w:adjustRightInd w:val="0"/>
              <w:spacing w:after="0" w:line="240" w:lineRule="auto"/>
              <w:rPr>
                <w:rFonts w:ascii="Times New Roman" w:hAnsi="Times New Roman" w:cs="Times New Roman"/>
              </w:rPr>
            </w:pPr>
            <w:r w:rsidRPr="00A02497">
              <w:rPr>
                <w:rFonts w:ascii="Times New Roman" w:hAnsi="Times New Roman" w:cs="Times New Roman"/>
              </w:rPr>
              <w:t xml:space="preserve">Способ оценки по средневзвешенной стоимости предполагает расчёт стоимости каждой единицы запасов исходя из средневзвешенной стоимости взаимозаменяемых единиц запасов на начало определенного периода и стоимости взаимозаменяемых единиц запасов, </w:t>
            </w:r>
            <w:r w:rsidRPr="00A02497">
              <w:rPr>
                <w:rFonts w:ascii="Times New Roman" w:hAnsi="Times New Roman" w:cs="Times New Roman"/>
              </w:rPr>
              <w:lastRenderedPageBreak/>
              <w:t>поступивших в течение этого периода. Средневзвешенное значение может рассчитываться периодически или по мере получения каждой новой партии запасов.</w:t>
            </w:r>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hAnsi="Times New Roman" w:cs="Times New Roman"/>
              </w:rPr>
            </w:pPr>
            <w:r w:rsidRPr="00A02497">
              <w:rPr>
                <w:rFonts w:ascii="Times New Roman" w:hAnsi="Times New Roman" w:cs="Times New Roman"/>
              </w:rPr>
              <w:lastRenderedPageBreak/>
              <w:t xml:space="preserve">Прописать метод по </w:t>
            </w:r>
            <w:proofErr w:type="spellStart"/>
            <w:r w:rsidRPr="00A02497">
              <w:rPr>
                <w:rFonts w:ascii="Times New Roman" w:hAnsi="Times New Roman" w:cs="Times New Roman"/>
              </w:rPr>
              <w:t>среднескользящей</w:t>
            </w:r>
            <w:proofErr w:type="spellEnd"/>
            <w:r w:rsidRPr="00A02497">
              <w:rPr>
                <w:rFonts w:ascii="Times New Roman" w:hAnsi="Times New Roman" w:cs="Times New Roman"/>
              </w:rPr>
              <w:t xml:space="preserve"> оценке.</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pStyle w:val="a4"/>
              <w:rPr>
                <w:rFonts w:ascii="Times New Roman" w:hAnsi="Times New Roman" w:cs="Times New Roman"/>
                <w:sz w:val="22"/>
                <w:szCs w:val="22"/>
              </w:rPr>
            </w:pPr>
            <w:r w:rsidRPr="00A02497">
              <w:rPr>
                <w:rFonts w:ascii="Times New Roman" w:hAnsi="Times New Roman" w:cs="Times New Roman"/>
                <w:sz w:val="22"/>
                <w:szCs w:val="22"/>
              </w:rPr>
              <w:t xml:space="preserve">Во многих ИТ-системах используется метод </w:t>
            </w:r>
            <w:proofErr w:type="spellStart"/>
            <w:r w:rsidRPr="00A02497">
              <w:rPr>
                <w:rFonts w:ascii="Times New Roman" w:hAnsi="Times New Roman" w:cs="Times New Roman"/>
                <w:sz w:val="22"/>
                <w:szCs w:val="22"/>
              </w:rPr>
              <w:t>среднескользящей</w:t>
            </w:r>
            <w:proofErr w:type="spellEnd"/>
            <w:r w:rsidRPr="00A02497">
              <w:rPr>
                <w:rFonts w:ascii="Times New Roman" w:hAnsi="Times New Roman" w:cs="Times New Roman"/>
                <w:sz w:val="22"/>
                <w:szCs w:val="22"/>
              </w:rPr>
              <w:t xml:space="preserve"> оценки, необходимо его разрешить.</w:t>
            </w:r>
          </w:p>
          <w:p w:rsidR="008D1647" w:rsidRPr="00A02497" w:rsidRDefault="008D1647" w:rsidP="00A02497">
            <w:pPr>
              <w:spacing w:after="0" w:line="240" w:lineRule="auto"/>
              <w:rPr>
                <w:rFonts w:ascii="Times New Roman" w:eastAsia="Times New Roman" w:hAnsi="Times New Roman" w:cs="Times New Roman"/>
                <w:color w:val="000000"/>
                <w:lang w:eastAsia="ru-RU"/>
              </w:rPr>
            </w:pPr>
          </w:p>
        </w:tc>
        <w:tc>
          <w:tcPr>
            <w:tcW w:w="2874" w:type="dxa"/>
            <w:tcBorders>
              <w:top w:val="single" w:sz="6" w:space="0" w:color="555555"/>
              <w:left w:val="single" w:sz="6" w:space="0" w:color="555555"/>
              <w:bottom w:val="single" w:sz="6" w:space="0" w:color="555555"/>
              <w:right w:val="single" w:sz="6" w:space="0" w:color="555555"/>
            </w:tcBorders>
            <w:vAlign w:val="center"/>
          </w:tcPr>
          <w:p w:rsidR="008D1647" w:rsidRPr="00683641" w:rsidRDefault="008D1647" w:rsidP="00D371B0">
            <w:pPr>
              <w:rPr>
                <w:rFonts w:ascii="Arial Narrow" w:hAnsi="Arial Narrow"/>
                <w:color w:val="0070C0"/>
                <w:sz w:val="20"/>
                <w:szCs w:val="20"/>
              </w:rPr>
            </w:pPr>
            <w:r>
              <w:rPr>
                <w:rFonts w:ascii="Arial Narrow" w:hAnsi="Arial Narrow"/>
                <w:color w:val="0070C0"/>
                <w:sz w:val="20"/>
                <w:szCs w:val="20"/>
              </w:rPr>
              <w:t>Обеспечивается вторым предложением пункта 32</w:t>
            </w:r>
          </w:p>
        </w:tc>
      </w:tr>
      <w:tr w:rsidR="008D1647" w:rsidRPr="00A02497" w:rsidTr="008E74F9">
        <w:trPr>
          <w:trHeight w:val="315"/>
        </w:trPr>
        <w:tc>
          <w:tcPr>
            <w:tcW w:w="37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eastAsia="Times New Roman" w:hAnsi="Times New Roman" w:cs="Times New Roman"/>
                <w:color w:val="000000"/>
                <w:lang w:eastAsia="ru-RU"/>
              </w:rPr>
            </w:pPr>
          </w:p>
        </w:tc>
        <w:tc>
          <w:tcPr>
            <w:tcW w:w="126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Пп.21,.27,32</w:t>
            </w:r>
          </w:p>
        </w:tc>
        <w:tc>
          <w:tcPr>
            <w:tcW w:w="420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E2328E">
            <w:pPr>
              <w:tabs>
                <w:tab w:val="left" w:pos="1276"/>
              </w:tabs>
              <w:suppressAutoHyphens/>
              <w:autoSpaceDE w:val="0"/>
              <w:autoSpaceDN w:val="0"/>
              <w:adjustRightInd w:val="0"/>
              <w:spacing w:after="0" w:line="240" w:lineRule="auto"/>
              <w:rPr>
                <w:rFonts w:ascii="Times New Roman" w:hAnsi="Times New Roman" w:cs="Times New Roman"/>
              </w:rPr>
            </w:pPr>
            <w:r w:rsidRPr="00A02497">
              <w:rPr>
                <w:rFonts w:ascii="Times New Roman" w:hAnsi="Times New Roman" w:cs="Times New Roman"/>
              </w:rPr>
              <w:t>Упоминается понятие прибыли/убытки</w:t>
            </w:r>
            <w:bookmarkStart w:id="0" w:name="_GoBack"/>
            <w:bookmarkEnd w:id="0"/>
          </w:p>
        </w:tc>
        <w:tc>
          <w:tcPr>
            <w:tcW w:w="4545"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hAnsi="Times New Roman" w:cs="Times New Roman"/>
              </w:rPr>
            </w:pPr>
            <w:r w:rsidRPr="00A02497">
              <w:rPr>
                <w:rFonts w:ascii="Times New Roman" w:hAnsi="Times New Roman" w:cs="Times New Roman"/>
              </w:rPr>
              <w:t>Предлагается заменить на</w:t>
            </w:r>
            <w:proofErr w:type="gramStart"/>
            <w:r w:rsidRPr="00A02497">
              <w:rPr>
                <w:rFonts w:ascii="Times New Roman" w:hAnsi="Times New Roman" w:cs="Times New Roman"/>
              </w:rPr>
              <w:t xml:space="preserve"> П</w:t>
            </w:r>
            <w:proofErr w:type="gramEnd"/>
            <w:r w:rsidRPr="00A02497">
              <w:rPr>
                <w:rFonts w:ascii="Times New Roman" w:hAnsi="Times New Roman" w:cs="Times New Roman"/>
              </w:rPr>
              <w:t>рочие доходы/Прочие расходы</w:t>
            </w:r>
          </w:p>
        </w:tc>
        <w:tc>
          <w:tcPr>
            <w:tcW w:w="2542"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rsidR="008D1647" w:rsidRPr="00A02497" w:rsidRDefault="008D1647" w:rsidP="00A02497">
            <w:pPr>
              <w:spacing w:after="0" w:line="240" w:lineRule="auto"/>
              <w:rPr>
                <w:rFonts w:ascii="Times New Roman" w:eastAsia="Times New Roman" w:hAnsi="Times New Roman" w:cs="Times New Roman"/>
                <w:color w:val="000000"/>
                <w:lang w:eastAsia="ru-RU"/>
              </w:rPr>
            </w:pPr>
            <w:r w:rsidRPr="00A02497">
              <w:rPr>
                <w:rFonts w:ascii="Times New Roman" w:eastAsia="Times New Roman" w:hAnsi="Times New Roman" w:cs="Times New Roman"/>
                <w:color w:val="000000"/>
                <w:lang w:eastAsia="ru-RU"/>
              </w:rPr>
              <w:t>Так, как для целей данного Стандарта  понятие обособленно не трактуется, а прибылью распоряжаются Акционеры – это окончательный финансовый результат.</w:t>
            </w:r>
          </w:p>
        </w:tc>
        <w:tc>
          <w:tcPr>
            <w:tcW w:w="2874" w:type="dxa"/>
            <w:tcBorders>
              <w:top w:val="single" w:sz="6" w:space="0" w:color="555555"/>
              <w:left w:val="single" w:sz="6" w:space="0" w:color="555555"/>
              <w:bottom w:val="single" w:sz="6" w:space="0" w:color="555555"/>
              <w:right w:val="single" w:sz="6" w:space="0" w:color="555555"/>
            </w:tcBorders>
            <w:vAlign w:val="center"/>
          </w:tcPr>
          <w:p w:rsidR="008D1647" w:rsidRPr="007A5619" w:rsidRDefault="008D1647" w:rsidP="00A944C1">
            <w:pPr>
              <w:spacing w:after="0" w:line="240" w:lineRule="auto"/>
              <w:ind w:left="39"/>
              <w:rPr>
                <w:rFonts w:ascii="Arial Narrow" w:eastAsia="Times New Roman" w:hAnsi="Arial Narrow" w:cs="Times New Roman"/>
                <w:color w:val="0070C0"/>
                <w:sz w:val="20"/>
                <w:lang w:eastAsia="ru-RU"/>
              </w:rPr>
            </w:pPr>
            <w:r>
              <w:rPr>
                <w:rFonts w:ascii="Arial Narrow" w:eastAsia="Times New Roman" w:hAnsi="Arial Narrow" w:cs="Times New Roman"/>
                <w:color w:val="0070C0"/>
                <w:sz w:val="20"/>
                <w:lang w:eastAsia="ru-RU"/>
              </w:rPr>
              <w:t>Указания на конкретный вид расходов исключены из Стандарта, как не являющиеся его предметом.</w:t>
            </w:r>
          </w:p>
        </w:tc>
      </w:tr>
    </w:tbl>
    <w:p w:rsidR="00C27D26" w:rsidRPr="00A02497" w:rsidRDefault="00C27D26" w:rsidP="00A02497">
      <w:pPr>
        <w:rPr>
          <w:rFonts w:ascii="Times New Roman" w:hAnsi="Times New Roman" w:cs="Times New Roman"/>
        </w:rPr>
      </w:pPr>
    </w:p>
    <w:sectPr w:rsidR="00C27D26" w:rsidRPr="00A02497" w:rsidSect="007A5619">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63" w:rsidRDefault="006B5363" w:rsidP="00A02497">
      <w:pPr>
        <w:spacing w:after="0" w:line="240" w:lineRule="auto"/>
      </w:pPr>
      <w:r>
        <w:separator/>
      </w:r>
    </w:p>
  </w:endnote>
  <w:endnote w:type="continuationSeparator" w:id="0">
    <w:p w:rsidR="006B5363" w:rsidRDefault="006B5363" w:rsidP="00A0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3506"/>
      <w:docPartObj>
        <w:docPartGallery w:val="Page Numbers (Bottom of Page)"/>
        <w:docPartUnique/>
      </w:docPartObj>
    </w:sdtPr>
    <w:sdtEndPr/>
    <w:sdtContent>
      <w:p w:rsidR="00A02497" w:rsidRDefault="006E4168">
        <w:pPr>
          <w:pStyle w:val="ab"/>
          <w:jc w:val="right"/>
        </w:pPr>
        <w:r>
          <w:fldChar w:fldCharType="begin"/>
        </w:r>
        <w:r>
          <w:instrText xml:space="preserve"> PAGE   \* MERGEFORMAT </w:instrText>
        </w:r>
        <w:r>
          <w:fldChar w:fldCharType="separate"/>
        </w:r>
        <w:r w:rsidR="005705CD">
          <w:rPr>
            <w:noProof/>
          </w:rPr>
          <w:t>4</w:t>
        </w:r>
        <w:r>
          <w:rPr>
            <w:noProof/>
          </w:rPr>
          <w:fldChar w:fldCharType="end"/>
        </w:r>
      </w:p>
    </w:sdtContent>
  </w:sdt>
  <w:p w:rsidR="00A02497" w:rsidRDefault="00A024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63" w:rsidRDefault="006B5363" w:rsidP="00A02497">
      <w:pPr>
        <w:spacing w:after="0" w:line="240" w:lineRule="auto"/>
      </w:pPr>
      <w:r>
        <w:separator/>
      </w:r>
    </w:p>
  </w:footnote>
  <w:footnote w:type="continuationSeparator" w:id="0">
    <w:p w:rsidR="006B5363" w:rsidRDefault="006B5363" w:rsidP="00A02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369"/>
    <w:multiLevelType w:val="hybridMultilevel"/>
    <w:tmpl w:val="E08AB3B2"/>
    <w:lvl w:ilvl="0" w:tplc="52B6912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F6950"/>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3349D1"/>
    <w:multiLevelType w:val="hybridMultilevel"/>
    <w:tmpl w:val="E08AB3B2"/>
    <w:lvl w:ilvl="0" w:tplc="52B6912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D26"/>
    <w:rsid w:val="002E2580"/>
    <w:rsid w:val="003A351D"/>
    <w:rsid w:val="003A588B"/>
    <w:rsid w:val="00471F92"/>
    <w:rsid w:val="00502842"/>
    <w:rsid w:val="005705CD"/>
    <w:rsid w:val="006B5363"/>
    <w:rsid w:val="006E4168"/>
    <w:rsid w:val="00733130"/>
    <w:rsid w:val="007A5619"/>
    <w:rsid w:val="008822A1"/>
    <w:rsid w:val="008D1647"/>
    <w:rsid w:val="008E74F9"/>
    <w:rsid w:val="009B5BF8"/>
    <w:rsid w:val="00A02497"/>
    <w:rsid w:val="00A944C1"/>
    <w:rsid w:val="00C27D26"/>
    <w:rsid w:val="00E10C01"/>
    <w:rsid w:val="00E2328E"/>
    <w:rsid w:val="00E3307C"/>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22A1"/>
    <w:rPr>
      <w:sz w:val="16"/>
      <w:szCs w:val="16"/>
    </w:rPr>
  </w:style>
  <w:style w:type="paragraph" w:styleId="a4">
    <w:name w:val="annotation text"/>
    <w:basedOn w:val="a"/>
    <w:link w:val="a5"/>
    <w:uiPriority w:val="99"/>
    <w:unhideWhenUsed/>
    <w:rsid w:val="008822A1"/>
    <w:pPr>
      <w:spacing w:line="240" w:lineRule="auto"/>
    </w:pPr>
    <w:rPr>
      <w:sz w:val="20"/>
      <w:szCs w:val="20"/>
    </w:rPr>
  </w:style>
  <w:style w:type="character" w:customStyle="1" w:styleId="a5">
    <w:name w:val="Текст примечания Знак"/>
    <w:basedOn w:val="a0"/>
    <w:link w:val="a4"/>
    <w:uiPriority w:val="99"/>
    <w:rsid w:val="008822A1"/>
    <w:rPr>
      <w:sz w:val="20"/>
      <w:szCs w:val="20"/>
    </w:rPr>
  </w:style>
  <w:style w:type="paragraph" w:styleId="a6">
    <w:name w:val="Balloon Text"/>
    <w:basedOn w:val="a"/>
    <w:link w:val="a7"/>
    <w:uiPriority w:val="99"/>
    <w:semiHidden/>
    <w:unhideWhenUsed/>
    <w:rsid w:val="00882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2A1"/>
    <w:rPr>
      <w:rFonts w:ascii="Tahoma" w:hAnsi="Tahoma" w:cs="Tahoma"/>
      <w:sz w:val="16"/>
      <w:szCs w:val="16"/>
    </w:rPr>
  </w:style>
  <w:style w:type="paragraph" w:styleId="a8">
    <w:name w:val="List Paragraph"/>
    <w:basedOn w:val="a"/>
    <w:uiPriority w:val="34"/>
    <w:qFormat/>
    <w:rsid w:val="00E3307C"/>
    <w:pPr>
      <w:ind w:left="720"/>
      <w:contextualSpacing/>
    </w:pPr>
  </w:style>
  <w:style w:type="paragraph" w:styleId="a9">
    <w:name w:val="header"/>
    <w:basedOn w:val="a"/>
    <w:link w:val="aa"/>
    <w:uiPriority w:val="99"/>
    <w:semiHidden/>
    <w:unhideWhenUsed/>
    <w:rsid w:val="00A0249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2497"/>
  </w:style>
  <w:style w:type="paragraph" w:styleId="ab">
    <w:name w:val="footer"/>
    <w:basedOn w:val="a"/>
    <w:link w:val="ac"/>
    <w:uiPriority w:val="99"/>
    <w:unhideWhenUsed/>
    <w:rsid w:val="00A024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22A1"/>
    <w:rPr>
      <w:sz w:val="16"/>
      <w:szCs w:val="16"/>
    </w:rPr>
  </w:style>
  <w:style w:type="paragraph" w:styleId="a4">
    <w:name w:val="annotation text"/>
    <w:basedOn w:val="a"/>
    <w:link w:val="a5"/>
    <w:uiPriority w:val="99"/>
    <w:semiHidden/>
    <w:unhideWhenUsed/>
    <w:rsid w:val="008822A1"/>
    <w:pPr>
      <w:spacing w:line="240" w:lineRule="auto"/>
    </w:pPr>
    <w:rPr>
      <w:sz w:val="20"/>
      <w:szCs w:val="20"/>
    </w:rPr>
  </w:style>
  <w:style w:type="character" w:customStyle="1" w:styleId="a5">
    <w:name w:val="Текст примечания Знак"/>
    <w:basedOn w:val="a0"/>
    <w:link w:val="a4"/>
    <w:uiPriority w:val="99"/>
    <w:semiHidden/>
    <w:rsid w:val="008822A1"/>
    <w:rPr>
      <w:sz w:val="20"/>
      <w:szCs w:val="20"/>
    </w:rPr>
  </w:style>
  <w:style w:type="paragraph" w:styleId="a6">
    <w:name w:val="Balloon Text"/>
    <w:basedOn w:val="a"/>
    <w:link w:val="a7"/>
    <w:uiPriority w:val="99"/>
    <w:semiHidden/>
    <w:unhideWhenUsed/>
    <w:rsid w:val="00882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1145</Words>
  <Characters>6530</Characters>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2016-11-08T15:30:00Z</dcterms:created>
  <dcterms:modified xsi:type="dcterms:W3CDTF">2017-08-25T10:54:00Z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1567115222</vt:i4>
  </property>
  <property fmtid="{D5CDD505-2E9C-101B-9397-08002B2CF9AE}" pid="3" name="_NewReviewCycle">
    <vt:lpwstr/>
  </property>
  <property fmtid="{D5CDD505-2E9C-101B-9397-08002B2CF9AE}" pid="4" name="_EmailSubject">
    <vt:lpwstr>Cообщение c контактной формы на вашем сайте</vt:lpwstr>
  </property>
  <property fmtid="{D5CDD505-2E9C-101B-9397-08002B2CF9AE}" pid="5" name="_AuthorEmail">
    <vt:lpwstr>amaslennikova@victoria-group.ru</vt:lpwstr>
  </property>
  <property fmtid="{D5CDD505-2E9C-101B-9397-08002B2CF9AE}" pid="6" name="_AuthorEmailDisplayName">
    <vt:lpwstr>Масленникова Алла Григорьевна</vt:lpwstr>
  </property>
  <property fmtid="{D5CDD505-2E9C-101B-9397-08002B2CF9AE}" pid="7" name="_ReviewingToolsShownOnce">
    <vt:lpwstr/>
  </property>
</Properties>
</file>