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8F15DF" w:rsidRPr="008F15DF" w:rsidRDefault="008F15DF" w:rsidP="008F15DF">
      <w:pPr>
        <w:spacing w:after="0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proofErr w:type="gramStart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Принята</w:t>
      </w:r>
      <w:proofErr w:type="gramEnd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на заседании ОК </w:t>
      </w:r>
      <w:proofErr w:type="spellStart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Нефтегаз</w:t>
      </w:r>
      <w:proofErr w:type="spellEnd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2017-03-24</w:t>
      </w:r>
    </w:p>
    <w:p w:rsidR="008F15DF" w:rsidRPr="008F15DF" w:rsidRDefault="008F15DF" w:rsidP="008F15DF">
      <w:pPr>
        <w:spacing w:after="0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proofErr w:type="gramStart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Утверждена</w:t>
      </w:r>
      <w:proofErr w:type="gramEnd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в итоговой редакции 2017-10-24</w:t>
      </w:r>
    </w:p>
    <w:p w:rsidR="008F15DF" w:rsidRDefault="008F15DF" w:rsidP="008F15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F15DF" w:rsidRDefault="008F15DF" w:rsidP="008F15DF">
      <w:pPr>
        <w:spacing w:after="0"/>
        <w:jc w:val="center"/>
        <w:rPr>
          <w:rFonts w:ascii="Times New Roman" w:eastAsia="Times New Roman" w:hAnsi="Times New Roman" w:cs="Times New Roman"/>
          <w:b/>
          <w:color w:val="006666"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color w:val="006666"/>
          <w:spacing w:val="20"/>
          <w:sz w:val="28"/>
        </w:rPr>
        <w:t>РЕКОМЕНДАЦИЯ  Р-88/2017- ОК НЕФТЕГАЗ</w:t>
      </w:r>
    </w:p>
    <w:p w:rsidR="008F15DF" w:rsidRDefault="008F15DF" w:rsidP="008F15DF">
      <w:pPr>
        <w:spacing w:after="0"/>
        <w:jc w:val="center"/>
        <w:rPr>
          <w:rFonts w:ascii="Times New Roman" w:eastAsia="Times New Roman" w:hAnsi="Times New Roman" w:cs="Times New Roman"/>
          <w:b/>
          <w:color w:val="006666"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color w:val="006666"/>
          <w:spacing w:val="20"/>
          <w:sz w:val="28"/>
        </w:rPr>
        <w:t>«ВЫВОЗНЫЕ ТАМОЖЕННЫЕ ПОШЛИНЫ»</w:t>
      </w:r>
    </w:p>
    <w:p w:rsidR="008F15DF" w:rsidRPr="008F15DF" w:rsidRDefault="008F15DF" w:rsidP="008F15DF">
      <w:pPr>
        <w:spacing w:after="0"/>
        <w:jc w:val="center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</w:p>
    <w:p w:rsidR="008F15DF" w:rsidRPr="008F15DF" w:rsidRDefault="008F15DF" w:rsidP="008F15DF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ОПИСАНИЕ ПРОБЛЕМЫ</w:t>
      </w:r>
    </w:p>
    <w:p w:rsidR="0042209D" w:rsidRDefault="0042209D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Рекомендация применяется в отношении учета вывозных таможенных пошлин (далее – пошлина) при транспортировке товаров (готовой продукции) любым видом транспорта за и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ключением трубопроводного.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экспорте товаров организация оформляет временную таможенную декларацию (далее – ВТД) и полную таможенную декларацию (далее – ПТД). В ВТД допускается заявление сведений исходя из намерений о вывозе ориентировочного количества товаров. ПТД оформляется после убытия российских товаров с таможенной территории РФ, после уто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нения количества поставленной продукции, ставки таможенной пошлины и курса валюты.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 признания выручки выполняются в периоде после оформления ВТД и до офор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ления ПТД. Юридическая обязанность по уплате пошлины в отношении товаров, декл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рируемых в соответствии с ТК РФ, возникает у декларанта с момента регистрации там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женным органом ВТД и с момента регистрации таможенным органом ПТД на товары.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подаче ВТД пошлина подлежит уплате до выпуска товаров в соответствии с заявле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ной таможенной процедурой. Таким образом, обязательство по уплате пошлины возник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 на дату выпуска товаров.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Пошлина подлежит уплате: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при подаче ВТД – в сумме, рассчитанной исходя из заявленного в ВТД количества т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варов;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при подаче ПТД – в сумме, рассчитанной исходя из фактически вывезенного количес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 товаров, с учетом сумм, уплаченных при подаче ВТД.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этой связи возникают вопросы: </w:t>
      </w:r>
    </w:p>
    <w:p w:rsidR="008F15DF" w:rsidRPr="008F15DF" w:rsidRDefault="008F15DF" w:rsidP="000B2342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>учета пошлины, уплаченной в соответствии с ВТД и относящейся к товарам, в</w:t>
      </w:r>
      <w:r w:rsidRPr="008F15D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F15DF">
        <w:rPr>
          <w:rFonts w:ascii="Times New Roman" w:eastAsia="Times New Roman" w:hAnsi="Times New Roman" w:cs="Times New Roman"/>
          <w:sz w:val="24"/>
          <w:szCs w:val="24"/>
        </w:rPr>
        <w:t>ручка по которым не признана;</w:t>
      </w:r>
    </w:p>
    <w:p w:rsidR="008F15DF" w:rsidRPr="008F15DF" w:rsidRDefault="008F15DF" w:rsidP="000B2342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>порядок признания расходов по уплате пошлины;</w:t>
      </w:r>
    </w:p>
    <w:p w:rsidR="008F15DF" w:rsidRPr="008F15DF" w:rsidRDefault="008F15DF" w:rsidP="000B2342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 xml:space="preserve">учета уточнений оценки обязательств, связанных с уплатой пошлины, возникшей  в результате уточнения следующих параметров: </w:t>
      </w:r>
    </w:p>
    <w:p w:rsidR="008F15DF" w:rsidRPr="008F15DF" w:rsidRDefault="008F15DF" w:rsidP="000B2342">
      <w:pPr>
        <w:numPr>
          <w:ilvl w:val="0"/>
          <w:numId w:val="7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>фактически вывезенного количества товаров;</w:t>
      </w:r>
    </w:p>
    <w:p w:rsidR="008F15DF" w:rsidRPr="008F15DF" w:rsidRDefault="008F15DF" w:rsidP="000B2342">
      <w:pPr>
        <w:numPr>
          <w:ilvl w:val="0"/>
          <w:numId w:val="7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>курсов иностранной валюты;</w:t>
      </w:r>
    </w:p>
    <w:p w:rsidR="008F15DF" w:rsidRPr="008F15DF" w:rsidRDefault="008F15DF" w:rsidP="000B2342">
      <w:pPr>
        <w:numPr>
          <w:ilvl w:val="0"/>
          <w:numId w:val="7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lastRenderedPageBreak/>
        <w:t>ставки пошлины.</w:t>
      </w:r>
    </w:p>
    <w:p w:rsidR="008F15DF" w:rsidRPr="008F15DF" w:rsidRDefault="008F15DF" w:rsidP="000B2342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 xml:space="preserve">на какие даты подлежит пересчету сумма пошлины: </w:t>
      </w:r>
    </w:p>
    <w:p w:rsidR="008F15DF" w:rsidRPr="008F15DF" w:rsidRDefault="008F15DF" w:rsidP="000B2342">
      <w:pPr>
        <w:numPr>
          <w:ilvl w:val="0"/>
          <w:numId w:val="5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 xml:space="preserve">дату пересечения таможенной территории, </w:t>
      </w:r>
    </w:p>
    <w:p w:rsidR="008F15DF" w:rsidRPr="008F15DF" w:rsidRDefault="008F15DF" w:rsidP="000B2342">
      <w:pPr>
        <w:numPr>
          <w:ilvl w:val="0"/>
          <w:numId w:val="5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 xml:space="preserve">дату признания выручки, </w:t>
      </w:r>
    </w:p>
    <w:p w:rsidR="008F15DF" w:rsidRPr="008F15DF" w:rsidRDefault="008F15DF" w:rsidP="000B2342">
      <w:pPr>
        <w:numPr>
          <w:ilvl w:val="0"/>
          <w:numId w:val="5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 xml:space="preserve">отчетную дату, </w:t>
      </w:r>
    </w:p>
    <w:p w:rsidR="008F15DF" w:rsidRPr="008F15DF" w:rsidRDefault="008F15DF" w:rsidP="000B2342">
      <w:pPr>
        <w:numPr>
          <w:ilvl w:val="0"/>
          <w:numId w:val="5"/>
        </w:numPr>
        <w:spacing w:after="0"/>
        <w:ind w:left="15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sz w:val="24"/>
          <w:szCs w:val="24"/>
        </w:rPr>
        <w:t xml:space="preserve">дату регистрации ПТД. </w:t>
      </w:r>
    </w:p>
    <w:p w:rsidR="008F15DF" w:rsidRPr="008F15DF" w:rsidRDefault="008F15DF" w:rsidP="008F15DF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8F15DF" w:rsidRPr="008F15DF" w:rsidRDefault="008F15DF" w:rsidP="008F15DF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РЕШЕНИЕ</w:t>
      </w:r>
    </w:p>
    <w:p w:rsidR="008F15DF" w:rsidRPr="008F15DF" w:rsidRDefault="008F15DF" w:rsidP="000B2342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Суммы вывозной таможенной пошлины, уплаченные на основании ВТД до моме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н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та, указанного в пункте 2 настоящей Рекомендации, признаются в бухгалтерском учете в качестве актива как предоплата пошлины.</w:t>
      </w:r>
    </w:p>
    <w:p w:rsidR="008F15DF" w:rsidRPr="008F15DF" w:rsidRDefault="008F15DF" w:rsidP="000B2342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На дату пересечения границы таможенной территории РФ товарами, в отношении которых уплачивается пошлина, организация признает в бухгалтерском учете ра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с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ход в размере расчетной величины обязанности организации по уплате пошлины, определяемой исходя из объема поставки, ставки пошлины и курса иностранной валюты на указанную дату. Указанный расход включается в состав расходов по обычной деятельности.</w:t>
      </w:r>
    </w:p>
    <w:p w:rsidR="008F15DF" w:rsidRPr="008F15DF" w:rsidRDefault="008F15DF" w:rsidP="000B2342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Calibri" w:hAnsi="Times New Roman" w:cs="Times New Roman"/>
          <w:color w:val="006666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Сумма актива, признанного в соответствии с п.1 настоящей Рекомендации, умен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ь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шается на величину расхода, признанного в соответствии с п.2 настоящей Рек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о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мендации. В случае полного списания указанного актива на сумму превышения признается обязательство по уплате пошлины. Сумма указанного обязательства или остающаяся несписанной сумма актива подлежат уточнению по мере измен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е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ния курса иностранной валюты как минимум на каждую (раннюю) из следующих дат – дату признания выручки, дату составления бухгалтерской отчетности, дату составления ПТД. Изменения стоимости актива или обязательства в связи с такими уточнениями включаются в прибыль (убыток) периода, в котором произошли соо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т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ветствующие изменения курса иностранной валюты. При этом квалификация соо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т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ветствующей статьи в составе прибыли (убытка) определяется организацией сам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о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стоятельно как элемент ее учетной политики. После составления ПТД, </w:t>
      </w:r>
      <w:proofErr w:type="gramStart"/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в</w:t>
      </w:r>
      <w:proofErr w:type="gramEnd"/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 </w:t>
      </w:r>
      <w:proofErr w:type="gramStart"/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которой</w:t>
      </w:r>
      <w:proofErr w:type="gramEnd"/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 определена окончательная сумма пошлины, осуществляемые в соответствии с н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а</w:t>
      </w:r>
      <w:r w:rsidRPr="008F15DF">
        <w:rPr>
          <w:rFonts w:ascii="Times New Roman" w:eastAsia="Times New Roman" w:hAnsi="Times New Roman" w:cs="Times New Roman"/>
          <w:color w:val="006666"/>
          <w:sz w:val="24"/>
          <w:szCs w:val="24"/>
        </w:rPr>
        <w:t>стоящим пунктом уточнения величины актива или обязательства прекращаются.</w:t>
      </w:r>
    </w:p>
    <w:p w:rsidR="008F15DF" w:rsidRPr="008F15DF" w:rsidRDefault="008F15DF" w:rsidP="008F15DF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8F15DF" w:rsidRPr="008F15DF" w:rsidRDefault="008F15DF" w:rsidP="008F15DF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ОСНОВА ДЛЯ ВЫВОДОВ</w:t>
      </w:r>
    </w:p>
    <w:p w:rsidR="0042209D" w:rsidRDefault="0042209D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ст. 138 Таможенного кодекса РФ (далее - ТК РФ) при вывозе с таможенной те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ритории РФ российских товаров, в отношении которых не могут быть представлены то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ные сведения, необходимые для целей таможенного оформления, в соответствии с обы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 ведением внешней торговли, допускается их периодическое временное деклариров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 путем подачи временной таможенной декларации. После убытия российских товаров с таможе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ной территории РФ декларант обязан подать полную и надлежащим образом заполненную таможенную декларацию на все российские товары, вывезенные за опред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ленный период времени (п. 2 ст. 138 ТК РФ).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ст. 214 Закона о таможенном регулировании временная таможенная декларация оформляется при вывозе из РФ товаров, в отношении которых не могут быть представл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 точные сведения о количестве и (или) таможенной стоимости.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 временной декларации на товары допускается отражение информации (сведений) и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ходя из намерений о вывозе ориентировочного количества товаров, условной таможенной стоимости (оценки), определяемой согласно планируемому к перемещению через там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женную границу Таможенного союза количеству товаров, а также исходя из предусмо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ренных условиями внешнеэкономической сделки потребительских свойств товаров и п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рядка определения их цены на день подачи временной декларации на товары.</w:t>
      </w:r>
      <w:proofErr w:type="gram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Убытие т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варов в к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личестве, превышающем заявленное во временной декларации на товары, не допускается (п. 6 ст. 214 Закона о таможенном регулировании).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правило, таможенные органы работают на условиях предоплаты, в </w:t>
      </w:r>
      <w:proofErr w:type="gram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чем орг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низации-поставщики перечисляют авансовые платежи.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п.9 ПБУ 3/2006 «Учет активов и обязательств, стоимость которых выражена в иностранной валюте» активы и расходы, которые оплачены организацией в предварител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 порядке либо в счет оплаты которых организация перечислила аванс или задаток, признаются в бухгалтерском учете этой организации в оценке в рублях по курсу, действ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вавшему на дату пересчета в рубли средств выданного аванса, задатка, предварительной опл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(в</w:t>
      </w:r>
      <w:proofErr w:type="gram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части, приходящейся на аванс, задаток, предварительную оплату).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8F15DF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ИЛЛЮСТРАТИВНЫЙ ПРИМЕР</w:t>
      </w:r>
    </w:p>
    <w:p w:rsid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экспортирует нефть железнодорожным транспортом в страны дальнего зар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бежья.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иллюстративного примера приняты следующие даты финансово-хозяйственных оп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раций: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перечисление аванса в счет предстоящих отгрузок было произведено 20.02.2016 в ру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левом эквиваленте 1 000 </w:t>
      </w:r>
      <w:proofErr w:type="spell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</w:t>
      </w:r>
      <w:proofErr w:type="spell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руб.;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отгрузка нефти организацией была произведена 15.03.2016 на сумму рублевого эквив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лента – 25 000 </w:t>
      </w:r>
      <w:proofErr w:type="spell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</w:t>
      </w:r>
      <w:proofErr w:type="spell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руб.,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убытие товаров с таможенной территории РФ 20.03.2016 (для упрощения примера су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 отгрузки в рублях равна сумме товара на дату убытия), расчетная величина пошлины на о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груженный товар составила в рублях 800 000 руб.;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г) переход права собственности нефти к Покупателю и признание выручки - 25.03.2016, сумма выручки 35 000 </w:t>
      </w:r>
      <w:proofErr w:type="spell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</w:t>
      </w:r>
      <w:proofErr w:type="spell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руб., расчетная величина экспортной пошлины увеличилась и составила 810 000 руб. в рублевом эквиваленте</w:t>
      </w:r>
      <w:bookmarkStart w:id="0" w:name="_GoBack"/>
      <w:bookmarkEnd w:id="0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дата составления промежуточной отчетности – 31.03.2016. Расчетная сумма пошлины на дату составления промежуточной отчетности составила эквивалент 790 000 руб.; 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е) дата оформления ПТД – 15.04.2016. Окончательная сумма пошлины составила эквив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лент 795 000 руб.</w:t>
      </w:r>
    </w:p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Отражение представленных выше операций представлено в </w:t>
      </w:r>
      <w:r w:rsidRPr="008F15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Таблице 1</w:t>
      </w:r>
      <w:r w:rsidRPr="008F15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F15DF" w:rsidRPr="008F15DF" w:rsidRDefault="008F15DF" w:rsidP="008F15D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F15DF" w:rsidRPr="008F15DF" w:rsidRDefault="008F15DF" w:rsidP="008F15D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F15DF" w:rsidRPr="008F15DF" w:rsidRDefault="008F15DF" w:rsidP="008F15D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F15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Таблица 1.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1644"/>
        <w:gridCol w:w="3233"/>
        <w:gridCol w:w="2036"/>
        <w:gridCol w:w="1241"/>
        <w:gridCol w:w="1324"/>
      </w:tblGrid>
      <w:tr w:rsidR="008F15DF" w:rsidRPr="008F15DF" w:rsidTr="007E11BE"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20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Кт</w:t>
            </w:r>
          </w:p>
        </w:tc>
      </w:tr>
      <w:tr w:rsidR="008F15DF" w:rsidRPr="008F15DF" w:rsidTr="007E11BE">
        <w:tc>
          <w:tcPr>
            <w:tcW w:w="1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20.02.16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аванса по у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 пошлины в счет пре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стоящих отгрузок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F15DF" w:rsidRPr="008F15DF" w:rsidTr="007E11BE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15.03.16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Отгрузка нефти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F15DF" w:rsidRPr="008F15DF" w:rsidTr="007E11BE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Убытие товаров с таможе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территории РФ – начи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расхода по уплате п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шлины с уменьшением су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аванса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F15DF" w:rsidRPr="008F15DF" w:rsidTr="007E11BE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25.03.16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права собственн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 отгруженный товар и признание выручки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F15DF" w:rsidRPr="008F15DF" w:rsidTr="007E11BE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F15DF" w:rsidRPr="008F15DF" w:rsidTr="007E11BE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расчетной вел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пошлины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10 000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F15DF" w:rsidRPr="008F15DF" w:rsidTr="007E11BE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расчетной вел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пошлины на дату с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промежуточной отчетности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44/91</w:t>
            </w:r>
          </w:p>
        </w:tc>
      </w:tr>
      <w:tr w:rsidR="008F15DF" w:rsidRPr="008F15DF" w:rsidTr="007E11BE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расчетной вел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пошлины по данным ПТД на дату составления ПТД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5DF" w:rsidRPr="008F15DF" w:rsidRDefault="008F15DF" w:rsidP="007E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8F15DF" w:rsidRPr="008F15DF" w:rsidRDefault="008F15DF" w:rsidP="008F1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5DF" w:rsidRPr="005009D9" w:rsidRDefault="008F15DF" w:rsidP="008F1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9C1" w:rsidRPr="00580723" w:rsidRDefault="007E29C1" w:rsidP="008F15DF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</w:pPr>
    </w:p>
    <w:sectPr w:rsidR="007E29C1" w:rsidRPr="00580723" w:rsidSect="006B55F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42" w:rsidRDefault="000B2342" w:rsidP="003F7FE8">
      <w:pPr>
        <w:spacing w:after="0" w:line="240" w:lineRule="auto"/>
      </w:pPr>
      <w:r>
        <w:separator/>
      </w:r>
    </w:p>
  </w:endnote>
  <w:endnote w:type="continuationSeparator" w:id="0">
    <w:p w:rsidR="000B2342" w:rsidRDefault="000B2342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799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717A65">
          <w:fldChar w:fldCharType="begin"/>
        </w:r>
        <w:r w:rsidR="00324504">
          <w:instrText>PAGE   \* MERGEFORMAT</w:instrText>
        </w:r>
        <w:r w:rsidR="00717A65">
          <w:fldChar w:fldCharType="separate"/>
        </w:r>
        <w:r w:rsidR="0042209D">
          <w:rPr>
            <w:noProof/>
          </w:rPr>
          <w:t>4</w:t>
        </w:r>
        <w:r w:rsidR="00717A65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800"/>
      <w:docPartObj>
        <w:docPartGallery w:val="Page Numbers (Bottom of Page)"/>
        <w:docPartUnique/>
      </w:docPartObj>
    </w:sdtPr>
    <w:sdtContent>
      <w:p w:rsidR="00324504" w:rsidRDefault="00717A65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42209D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42" w:rsidRDefault="000B2342" w:rsidP="003F7FE8">
      <w:pPr>
        <w:spacing w:after="0" w:line="240" w:lineRule="auto"/>
      </w:pPr>
      <w:r>
        <w:separator/>
      </w:r>
    </w:p>
  </w:footnote>
  <w:footnote w:type="continuationSeparator" w:id="0">
    <w:p w:rsidR="000B2342" w:rsidRDefault="000B2342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980"/>
    <w:multiLevelType w:val="multilevel"/>
    <w:tmpl w:val="F61672F8"/>
    <w:lvl w:ilvl="0">
      <w:start w:val="1"/>
      <w:numFmt w:val="russianLow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E711C"/>
    <w:multiLevelType w:val="multilevel"/>
    <w:tmpl w:val="B8E6FFEC"/>
    <w:lvl w:ilvl="0">
      <w:start w:val="1"/>
      <w:numFmt w:val="decimal"/>
      <w:lvlText w:val="%1."/>
      <w:lvlJc w:val="left"/>
      <w:rPr>
        <w:b/>
        <w:color w:val="C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72A4E"/>
    <w:multiLevelType w:val="hybridMultilevel"/>
    <w:tmpl w:val="47D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801BC"/>
    <w:multiLevelType w:val="multilevel"/>
    <w:tmpl w:val="F61672F8"/>
    <w:lvl w:ilvl="0">
      <w:start w:val="1"/>
      <w:numFmt w:val="russianLow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342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4953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D7CAC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580C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254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129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C78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09D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D6A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55F4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6C9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5DF"/>
    <w:rsid w:val="008F1E91"/>
    <w:rsid w:val="008F2740"/>
    <w:rsid w:val="008F2ADD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6800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23C6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78D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2212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aliases w:val="нумерация,Заголовок_3,Bullet_IRAO,Мой Список,AC List 01,Подпись рисунка,Table-Normal,RSHB_Table-Normal,List Paragraph1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4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link w:val="af"/>
    <w:uiPriority w:val="34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7239-1A51-43B2-B537-8734F0A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2017-11-03T09:34:00Z</cp:lastPrinted>
  <dcterms:created xsi:type="dcterms:W3CDTF">2018-12-04T13:18:00Z</dcterms:created>
  <dcterms:modified xsi:type="dcterms:W3CDTF">2018-12-04T13:18:00Z</dcterms:modified>
</cp:coreProperties>
</file>